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312848">
      <w:pPr>
        <w:rPr>
          <w:b/>
          <w:bCs/>
        </w:rPr>
      </w:pPr>
      <w:bookmarkStart w:id="0" w:name="_GoBack"/>
      <w:bookmarkEnd w:id="0"/>
      <w:r>
        <w:rPr>
          <w:rFonts w:hint="eastAsia"/>
          <w:b/>
          <w:bCs/>
        </w:rPr>
        <w:t>附件1</w:t>
      </w:r>
    </w:p>
    <w:p w14:paraId="7AE5F319">
      <w:pPr>
        <w:pStyle w:val="4"/>
        <w:spacing w:before="150" w:beforeAutospacing="0" w:after="150" w:afterAutospacing="0" w:line="24" w:lineRule="atLeast"/>
        <w:jc w:val="center"/>
        <w:rPr>
          <w:sz w:val="28"/>
          <w:szCs w:val="28"/>
        </w:rPr>
      </w:pP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服务技术</w:t>
      </w: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需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求</w:t>
      </w:r>
    </w:p>
    <w:p w14:paraId="2C28EA0A">
      <w:pPr>
        <w:spacing w:line="24" w:lineRule="atLeast"/>
        <w:ind w:left="90"/>
        <w:rPr>
          <w:sz w:val="28"/>
          <w:szCs w:val="28"/>
        </w:rPr>
      </w:pP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一、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检测范围：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覆盖精神类相关药物（抗抑郁、抗精神病、镇静催眠等）代谢酶及靶点基因，包括但不限于CYP2C19、CYP2D6、CYP3A4、CYP3A5、HTR2A、SLC6A4、OPRM1等，位点选择应基于FDA/CPIC指南及临床循证证据。</w:t>
      </w:r>
    </w:p>
    <w:p w14:paraId="6DB48E8F">
      <w:pPr>
        <w:spacing w:line="24" w:lineRule="atLeast"/>
        <w:ind w:left="90"/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二、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检测方法</w:t>
      </w: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（此为实质性条款）</w:t>
      </w:r>
    </w:p>
    <w:p w14:paraId="1909C7EE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 w:val="0"/>
          <w:color w:val="000000"/>
          <w:sz w:val="28"/>
          <w:szCs w:val="28"/>
          <w:shd w:val="clear" w:color="auto" w:fill="FFFFFF"/>
        </w:rPr>
        <w:t>采用符合全国医疗服务项目技术规范(2023年版)的技术方法，同时，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须符合浙江省关于化学药物用药指导基因检测项目的收费规定。</w:t>
      </w:r>
    </w:p>
    <w:p w14:paraId="53D2A23B">
      <w:pPr>
        <w:spacing w:line="24" w:lineRule="atLeast"/>
        <w:ind w:left="90"/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三、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检测时效</w:t>
      </w: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（此为实质性条款）</w:t>
      </w:r>
    </w:p>
    <w:p w14:paraId="63C075B1">
      <w:pPr>
        <w:spacing w:line="24" w:lineRule="atLeast"/>
        <w:ind w:left="90"/>
        <w:rPr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从样本接收到出具正式报告≤1.5小时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，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满足临床快速个体化用药需求。</w:t>
      </w:r>
    </w:p>
    <w:p w14:paraId="5528ABA9">
      <w:pPr>
        <w:numPr>
          <w:ilvl w:val="0"/>
          <w:numId w:val="1"/>
        </w:numPr>
        <w:spacing w:line="24" w:lineRule="atLeast"/>
        <w:ind w:left="90"/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质量控制</w:t>
      </w:r>
    </w:p>
    <w:p w14:paraId="0B09898D">
      <w:pPr>
        <w:spacing w:line="24" w:lineRule="atLeast"/>
        <w:rPr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具备完整的室内质控与室间质评体系；每批次检测须设置阴、阳性质控，并提供质控数据；近两年参加国家卫健委或省级临检中心室间质评且合格。</w:t>
      </w:r>
    </w:p>
    <w:p w14:paraId="1C8AFFCE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五、设备需满足以下条件（此为实质性条款）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br w:type="textWrapping"/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样本通量≥48 人份 / 次，支持任意数量灵活上机；检测支持多指标并行检测。</w:t>
      </w:r>
    </w:p>
    <w:p w14:paraId="0F0A0DB1">
      <w:pPr>
        <w:spacing w:line="24" w:lineRule="atLeast"/>
        <w:ind w:left="90"/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b/>
          <w:bCs/>
          <w:color w:val="000000"/>
          <w:sz w:val="28"/>
          <w:szCs w:val="28"/>
          <w:shd w:val="clear" w:color="auto" w:fill="FFFFFF"/>
        </w:rPr>
        <w:t>六、自动化报告平台与知识库要求</w:t>
      </w: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（此为实质性条款）</w:t>
      </w:r>
    </w:p>
    <w:p w14:paraId="3E9E0A05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6.1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提供自动化分析报告平台；提供中文临床解读报告，包含基因型、代谢表型、具体药物调整建议及参考文献，报告格式符合临床规范，并支持嵌入医院LIS/HIS系统。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可以根据医院情况自己增加用药建议。</w:t>
      </w:r>
    </w:p>
    <w:p w14:paraId="2691A4DC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6.2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报告平台知识库需循证依据（生物医学文献、FDA、NMPA、NCCN 指南、CPIC指南、DPWG指南以及国内外权威数据库等）；</w:t>
      </w:r>
    </w:p>
    <w:p w14:paraId="38F2931C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6.3临床药物基因组学系统通过ISO认证；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精准用药知识库获ISO13485认证，与自动化软件连接，自动出具用药建议报告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。</w:t>
      </w:r>
    </w:p>
    <w:p w14:paraId="095BDFC1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6.4若患者既往在本院检测过，输入基本信息后，系统能够自动检索既往报告，实现查重。</w:t>
      </w:r>
    </w:p>
    <w:p w14:paraId="16208273">
      <w:pPr>
        <w:numPr>
          <w:ilvl w:val="0"/>
          <w:numId w:val="2"/>
        </w:numPr>
        <w:spacing w:line="24" w:lineRule="atLeast"/>
        <w:ind w:left="90"/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Times New Roman" w:hAnsi="Times New Roman"/>
          <w:b/>
          <w:bCs/>
          <w:color w:val="000000"/>
          <w:sz w:val="28"/>
          <w:szCs w:val="28"/>
          <w:shd w:val="clear" w:color="auto" w:fill="FFFFFF"/>
          <w:lang w:bidi="ar"/>
        </w:rPr>
        <w:t>其他要求</w:t>
      </w:r>
    </w:p>
    <w:p w14:paraId="5EB7E8DD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 w:val="0"/>
          <w:color w:val="000000"/>
          <w:sz w:val="28"/>
          <w:szCs w:val="28"/>
          <w:shd w:val="clear" w:color="auto" w:fill="FFFFFF"/>
        </w:rPr>
        <w:t>7.1</w:t>
      </w:r>
      <w:r>
        <w:rPr>
          <w:rStyle w:val="7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培训支持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：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免费为医院检验/药剂/临床人员提供操作培训及基因解读培训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。</w:t>
      </w:r>
    </w:p>
    <w:p w14:paraId="06860BBE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7.2在保质期内，设备发生一般故障时，中标方负责免费修理、更换零部件；如设备发生大故障（指主要部件出现质量问题）时，中标方应负责免费更换相同品牌、型号的新机器。合约期内设备由中标方免费提供维保；产权归中标方所有。</w:t>
      </w:r>
    </w:p>
    <w:p w14:paraId="061CA360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14:paraId="7DDE81DD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 xml:space="preserve">                                        医务科</w:t>
      </w:r>
    </w:p>
    <w:p w14:paraId="48BF3DE5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 xml:space="preserve">                                    2026年6月9日</w:t>
      </w:r>
    </w:p>
    <w:p w14:paraId="41E77A8E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14:paraId="1C2542CA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A02A1B"/>
    <w:multiLevelType w:val="singleLevel"/>
    <w:tmpl w:val="04A02A1B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167283B"/>
    <w:multiLevelType w:val="singleLevel"/>
    <w:tmpl w:val="1167283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F6C"/>
    <w:rsid w:val="00317A49"/>
    <w:rsid w:val="00790F6C"/>
    <w:rsid w:val="00CE287D"/>
    <w:rsid w:val="0BEC022F"/>
    <w:rsid w:val="0DC8410D"/>
    <w:rsid w:val="0E7556D1"/>
    <w:rsid w:val="10535371"/>
    <w:rsid w:val="1C6D1D84"/>
    <w:rsid w:val="20036C03"/>
    <w:rsid w:val="20C50FB4"/>
    <w:rsid w:val="21071FCB"/>
    <w:rsid w:val="27A35EAC"/>
    <w:rsid w:val="297A538D"/>
    <w:rsid w:val="2D040F00"/>
    <w:rsid w:val="2D315253"/>
    <w:rsid w:val="32C15E0E"/>
    <w:rsid w:val="356C2617"/>
    <w:rsid w:val="36942060"/>
    <w:rsid w:val="373C5FAF"/>
    <w:rsid w:val="38C760CA"/>
    <w:rsid w:val="3E8F1850"/>
    <w:rsid w:val="3F630BB4"/>
    <w:rsid w:val="406C0B37"/>
    <w:rsid w:val="49D20DCB"/>
    <w:rsid w:val="4DA12BB9"/>
    <w:rsid w:val="4EBB664A"/>
    <w:rsid w:val="4F824AB9"/>
    <w:rsid w:val="53605111"/>
    <w:rsid w:val="586C5041"/>
    <w:rsid w:val="5B02037B"/>
    <w:rsid w:val="6478348C"/>
    <w:rsid w:val="695C6F71"/>
    <w:rsid w:val="69D42CF2"/>
    <w:rsid w:val="705D4FC3"/>
    <w:rsid w:val="78AA5F60"/>
    <w:rsid w:val="78F52A58"/>
    <w:rsid w:val="7DF30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cs="Times New Roman" w:asciiTheme="minorEastAsia" w:hAnsiTheme="minorEastAsia" w:eastAsiaTheme="minorEastAsia"/>
      <w:sz w:val="24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</w:p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字符"/>
    <w:basedOn w:val="6"/>
    <w:link w:val="3"/>
    <w:uiPriority w:val="0"/>
    <w:rPr>
      <w:rFonts w:asciiTheme="minorEastAsia" w:hAnsiTheme="minorEastAsia" w:eastAsiaTheme="minorEastAsia"/>
      <w:sz w:val="18"/>
      <w:szCs w:val="18"/>
    </w:rPr>
  </w:style>
  <w:style w:type="character" w:customStyle="1" w:styleId="9">
    <w:name w:val="页脚 字符"/>
    <w:basedOn w:val="6"/>
    <w:link w:val="2"/>
    <w:uiPriority w:val="0"/>
    <w:rPr>
      <w:rFonts w:asciiTheme="minorEastAsia" w:hAnsiTheme="minorEastAsia"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730</Words>
  <Characters>823</Characters>
  <Lines>6</Lines>
  <Paragraphs>1</Paragraphs>
  <TotalTime>13</TotalTime>
  <ScaleCrop>false</ScaleCrop>
  <LinksUpToDate>false</LinksUpToDate>
  <CharactersWithSpaces>903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2026-03-05T01:04:00Z</dcterms:created>
  <dc:creator>ower</dc:creator>
  <cp:lastModifiedBy>hu</cp:lastModifiedBy>
  <dcterms:modified xsi:type="dcterms:W3CDTF">2026-06-22T00:06:14Z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eyJoZGlkIjoiN2ExZWUyNDE4MmM5NDlhM2E1ODE0YTc1Njg4MDU3ZmQiLCJ1c2VySWQiOiIzNTgyMTgwNDUifQ==</vt:lpwstr>
  </property>
  <property fmtid="{D5CDD505-2E9C-101B-9397-08002B2CF9AE}" pid="4" name="ICV">
    <vt:lpwstr>64EFBD6547374FADB8385EB92E572144_13</vt:lpwstr>
  </property>
</Properties>
</file>