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D3E6FF">
      <w:pPr>
        <w:pStyle w:val="10"/>
        <w:spacing w:line="288" w:lineRule="auto"/>
        <w:rPr>
          <w:rFonts w:hint="eastAsia" w:ascii="仿宋" w:hAnsi="仿宋" w:eastAsia="仿宋" w:cs="仿宋"/>
          <w:b/>
          <w:iCs w:val="0"/>
          <w:spacing w:val="0"/>
          <w:sz w:val="44"/>
          <w:szCs w:val="44"/>
        </w:rPr>
      </w:pPr>
      <w:r>
        <w:rPr>
          <w:rFonts w:hint="eastAsia" w:ascii="仿宋" w:hAnsi="仿宋" w:eastAsia="仿宋" w:cs="仿宋"/>
          <w:b/>
          <w:iCs w:val="0"/>
          <w:spacing w:val="0"/>
          <w:sz w:val="44"/>
          <w:szCs w:val="44"/>
          <w:lang w:val="en-US" w:eastAsia="zh-CN"/>
        </w:rPr>
        <w:t>内镜和MECT室麻醉信息系统</w:t>
      </w:r>
      <w:r>
        <w:rPr>
          <w:rFonts w:hint="eastAsia" w:ascii="仿宋" w:hAnsi="仿宋" w:eastAsia="仿宋" w:cs="仿宋"/>
          <w:b/>
          <w:iCs w:val="0"/>
          <w:spacing w:val="0"/>
          <w:sz w:val="44"/>
          <w:szCs w:val="44"/>
        </w:rPr>
        <w:t>采购需求</w:t>
      </w:r>
    </w:p>
    <w:p w14:paraId="6431C821">
      <w:pPr>
        <w:numPr>
          <w:ilvl w:val="0"/>
          <w:numId w:val="0"/>
        </w:numPr>
        <w:spacing w:before="66" w:line="228" w:lineRule="auto"/>
        <w:outlineLvl w:val="1"/>
        <w:rPr>
          <w:rFonts w:hint="eastAsia" w:ascii="宋体" w:hAnsi="宋体" w:eastAsia="宋体" w:cs="宋体"/>
          <w:b/>
          <w:bCs/>
          <w:color w:val="auto"/>
          <w:spacing w:val="7"/>
          <w:sz w:val="24"/>
          <w:szCs w:val="24"/>
        </w:rPr>
      </w:pPr>
      <w:r>
        <w:rPr>
          <w:rFonts w:hint="eastAsia" w:ascii="宋体" w:hAnsi="宋体" w:cs="宋体"/>
          <w:b/>
          <w:bCs/>
          <w:color w:val="auto"/>
          <w:spacing w:val="7"/>
          <w:sz w:val="24"/>
          <w:szCs w:val="24"/>
          <w:lang w:val="en-US" w:eastAsia="zh-CN"/>
        </w:rPr>
        <w:t>一、供应商资质</w:t>
      </w:r>
    </w:p>
    <w:p w14:paraId="1D8C785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1.符合《中华人民共和国政府采购法》第二十二条规定，即：</w:t>
      </w:r>
    </w:p>
    <w:p w14:paraId="27237D92">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具有独立承担民事责任的能力；</w:t>
      </w:r>
    </w:p>
    <w:p w14:paraId="666FD53F">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具有良好的商业信誉和健全的财务会计制度；</w:t>
      </w:r>
    </w:p>
    <w:p w14:paraId="64D22AA0">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具有履行合同所必需的设备和专业技术能力；</w:t>
      </w:r>
    </w:p>
    <w:p w14:paraId="6E79AF8B">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有依法缴纳税收和社会保障资金的良好记录；</w:t>
      </w:r>
    </w:p>
    <w:p w14:paraId="2A3D82B4">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法律、行政法规规定的其他条件。</w:t>
      </w:r>
    </w:p>
    <w:p w14:paraId="1E2F0EC3">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2.参加我院本次磋商采购活动前三年内，供应商及法人、授权销售代表在经营活动中无重大违法记录；</w:t>
      </w:r>
    </w:p>
    <w:p w14:paraId="77A061DD">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3.满足《中华人民共和国政府采购法》第二十二条规定；供应商未被列入失信被执行人名单、重大税收违法案件当事人名单、政府采购严重违法失信行为记录名单，信用信息以信用中国网站（www.creditchina.gov.cn）、中国政府采购网（www.ccgp.gov.cn）公布为准。</w:t>
      </w:r>
    </w:p>
    <w:p w14:paraId="6C534837">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楷体_GB2312" w:hAnsi="楷体_GB2312" w:eastAsia="楷体_GB2312" w:cs="楷体_GB2312"/>
          <w:color w:val="000000"/>
          <w:kern w:val="0"/>
          <w:sz w:val="28"/>
          <w:szCs w:val="28"/>
          <w:lang w:val="en-US" w:eastAsia="zh-CN" w:bidi="ar"/>
        </w:rPr>
      </w:pPr>
      <w:r>
        <w:rPr>
          <w:rFonts w:hint="eastAsia" w:ascii="楷体_GB2312" w:hAnsi="楷体_GB2312" w:eastAsia="楷体_GB2312" w:cs="楷体_GB2312"/>
          <w:color w:val="000000"/>
          <w:kern w:val="0"/>
          <w:sz w:val="28"/>
          <w:szCs w:val="28"/>
          <w:lang w:val="en-US" w:eastAsia="zh-CN" w:bidi="ar"/>
        </w:rPr>
        <w:t>4.拥有麻醉系统软件著作权证书；</w:t>
      </w:r>
    </w:p>
    <w:p w14:paraId="7EF08FD2">
      <w:pPr>
        <w:numPr>
          <w:ilvl w:val="0"/>
          <w:numId w:val="0"/>
        </w:numPr>
        <w:spacing w:before="66" w:line="228" w:lineRule="auto"/>
        <w:ind w:left="420" w:leftChars="0"/>
        <w:outlineLvl w:val="1"/>
        <w:rPr>
          <w:rFonts w:hint="eastAsia" w:ascii="楷体_GB2312" w:hAnsi="楷体_GB2312" w:eastAsia="楷体_GB2312" w:cs="楷体_GB2312"/>
          <w:b/>
          <w:bCs/>
          <w:color w:val="auto"/>
          <w:spacing w:val="7"/>
          <w:sz w:val="28"/>
          <w:szCs w:val="28"/>
        </w:rPr>
      </w:pPr>
      <w:r>
        <w:rPr>
          <w:rFonts w:hint="eastAsia" w:ascii="楷体_GB2312" w:hAnsi="楷体_GB2312" w:eastAsia="楷体_GB2312" w:cs="楷体_GB2312"/>
          <w:b/>
          <w:bCs/>
          <w:color w:val="auto"/>
          <w:spacing w:val="7"/>
          <w:sz w:val="28"/>
          <w:szCs w:val="28"/>
          <w:lang w:val="en-US" w:eastAsia="zh-CN"/>
        </w:rPr>
        <w:t>二、</w:t>
      </w:r>
      <w:r>
        <w:rPr>
          <w:rFonts w:hint="eastAsia" w:ascii="楷体_GB2312" w:hAnsi="楷体_GB2312" w:eastAsia="楷体_GB2312" w:cs="楷体_GB2312"/>
          <w:b/>
          <w:bCs/>
          <w:color w:val="auto"/>
          <w:spacing w:val="7"/>
          <w:sz w:val="28"/>
          <w:szCs w:val="28"/>
        </w:rPr>
        <w:t>技术要求</w:t>
      </w:r>
    </w:p>
    <w:p w14:paraId="159113B1">
      <w:pPr>
        <w:pStyle w:val="39"/>
        <w:numPr>
          <w:ilvl w:val="0"/>
          <w:numId w:val="4"/>
        </w:numPr>
        <w:spacing w:line="360" w:lineRule="auto"/>
        <w:ind w:left="425" w:leftChars="0" w:hanging="425" w:firstLineChars="0"/>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总体要求：</w:t>
      </w:r>
    </w:p>
    <w:p w14:paraId="56C985E4">
      <w:pPr>
        <w:pStyle w:val="39"/>
        <w:numPr>
          <w:ilvl w:val="0"/>
          <w:numId w:val="0"/>
        </w:numPr>
        <w:spacing w:line="360" w:lineRule="auto"/>
        <w:ind w:firstLine="560" w:firstLineChars="200"/>
        <w:jc w:val="both"/>
        <w:textAlignment w:val="baseline"/>
        <w:rPr>
          <w:rFonts w:hint="eastAsia" w:ascii="楷体_GB2312" w:hAnsi="楷体_GB2312" w:eastAsia="楷体_GB2312" w:cs="楷体_GB2312"/>
          <w:kern w:val="2"/>
          <w:sz w:val="28"/>
          <w:szCs w:val="28"/>
          <w:lang w:val="en-US" w:eastAsia="zh-CN" w:bidi="ar-SA"/>
        </w:rPr>
      </w:pPr>
      <w:r>
        <w:rPr>
          <w:rFonts w:hint="eastAsia" w:ascii="楷体_GB2312" w:hAnsi="楷体_GB2312" w:eastAsia="楷体_GB2312" w:cs="楷体_GB2312"/>
          <w:sz w:val="28"/>
          <w:szCs w:val="28"/>
          <w:lang w:val="en-US" w:eastAsia="zh-CN"/>
        </w:rPr>
        <w:t>手术室外麻醉信息系统遵循“以患者为中心、服务于临床”的宗旨，使术前准备工作前移，优化患者诊疗流程，能最大限度提高患者安全，为患者手术安全提供有利保障。以服务舒适化麻醉临床业务工作的开展为核心，为医护人员、科室管理人员提供流程化、信息化、自动化、智能化的临床业务综合管理平台，它能够满足麻醉科用户多层次的应用需求，它不仅仅是面向医护人员的业务系统，解决手术室外麻醉工作强度较大的问题；更是面向科室管理者提高麻醉科管理水平、规范医疗行为、提高工作效率、改善医疗服务质量的手段。</w:t>
      </w:r>
      <w:r>
        <w:rPr>
          <w:rFonts w:hint="eastAsia" w:ascii="楷体_GB2312" w:hAnsi="楷体_GB2312" w:eastAsia="楷体_GB2312" w:cs="楷体_GB2312"/>
          <w:kern w:val="2"/>
          <w:sz w:val="28"/>
          <w:szCs w:val="28"/>
          <w:lang w:val="en-US" w:eastAsia="zh-CN" w:bidi="ar-SA"/>
        </w:rPr>
        <w:t>实现医院全域的麻醉的信息化管理；实现手术室外麻醉及手术业务数据的全流程信息化管理；实现手术室内外数据的无缝对接，一体化管理。</w:t>
      </w:r>
    </w:p>
    <w:p w14:paraId="2975AD9C">
      <w:pPr>
        <w:pStyle w:val="43"/>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kern w:val="2"/>
          <w:sz w:val="28"/>
          <w:szCs w:val="28"/>
          <w:lang w:val="en-US" w:eastAsia="zh-CN" w:bidi="ar-SA"/>
        </w:rPr>
        <w:t>建设内容覆盖内镜室和MECT室，其中内镜室1床和复苏2床，MECT室1床和复苏7床。</w:t>
      </w:r>
    </w:p>
    <w:p w14:paraId="09ACA533">
      <w:pPr>
        <w:pStyle w:val="39"/>
        <w:numPr>
          <w:ilvl w:val="0"/>
          <w:numId w:val="4"/>
        </w:numPr>
        <w:spacing w:line="360" w:lineRule="auto"/>
        <w:ind w:left="425" w:leftChars="0" w:hanging="425" w:firstLineChars="0"/>
        <w:textAlignment w:val="baseline"/>
        <w:rPr>
          <w:rFonts w:hint="default"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项目要求</w:t>
      </w:r>
    </w:p>
    <w:p w14:paraId="291FC106">
      <w:pPr>
        <w:pStyle w:val="39"/>
        <w:numPr>
          <w:ilvl w:val="0"/>
          <w:numId w:val="5"/>
        </w:numPr>
        <w:spacing w:line="360" w:lineRule="auto"/>
        <w:ind w:left="425" w:leftChars="0" w:hanging="425" w:firstLineChars="0"/>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color w:val="auto"/>
          <w:sz w:val="28"/>
          <w:szCs w:val="28"/>
          <w:highlight w:val="none"/>
          <w:lang w:val="en-US" w:eastAsia="zh-CN"/>
        </w:rPr>
        <w:t>技术要求</w:t>
      </w:r>
    </w:p>
    <w:p w14:paraId="279DF5CA">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0" w:name="_Toc24694"/>
      <w:r>
        <w:rPr>
          <w:rFonts w:hint="eastAsia" w:ascii="楷体_GB2312" w:hAnsi="楷体_GB2312" w:eastAsia="楷体_GB2312" w:cs="楷体_GB2312"/>
          <w:sz w:val="28"/>
          <w:szCs w:val="28"/>
          <w:lang w:val="en-US" w:eastAsia="zh-CN"/>
        </w:rPr>
        <w:t>1.手术信息接收功能</w:t>
      </w:r>
      <w:bookmarkEnd w:id="0"/>
    </w:p>
    <w:p w14:paraId="7C5B9A6C">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可同步手术排班信息，可批量接收一段时间内的手术排班信息，并提供按患者住院号、ID同步指定患者的手术排班信息。</w:t>
      </w:r>
    </w:p>
    <w:p w14:paraId="00CAAFC0">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 w:name="_Toc4362"/>
      <w:bookmarkStart w:id="2" w:name="_Toc12279"/>
      <w:r>
        <w:rPr>
          <w:rFonts w:hint="eastAsia" w:ascii="楷体_GB2312" w:hAnsi="楷体_GB2312" w:eastAsia="楷体_GB2312" w:cs="楷体_GB2312"/>
          <w:sz w:val="28"/>
          <w:szCs w:val="28"/>
          <w:lang w:val="en-US" w:eastAsia="zh-CN"/>
        </w:rPr>
        <w:t>2.患者知情同意功能</w:t>
      </w:r>
      <w:bookmarkEnd w:id="1"/>
      <w:bookmarkEnd w:id="2"/>
    </w:p>
    <w:p w14:paraId="5BAD81C7">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可以根据医院的需求支持知情同意书格式调整和内容修改，如记录麻醉方法、拟行手术，并提供麻醉期间可能出现的意外和并发症。</w:t>
      </w:r>
    </w:p>
    <w:p w14:paraId="6B65D52F">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麻醉知情同意书智能切换，系统可在对应的麻醉方法下，进行麻醉知情同意书设置，提示麻醉期间可能出现的意外和并发症提示。系统可根据患者手术差异，动态调整麻醉知情同意书格式和内容，与本手术无关的并发症和意外的提示将不显示，知情同意书更智能，内容更清晰。</w:t>
      </w:r>
    </w:p>
    <w:p w14:paraId="4B27F6F6">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3" w:name="_Toc18083"/>
      <w:r>
        <w:rPr>
          <w:rFonts w:hint="eastAsia" w:ascii="楷体_GB2312" w:hAnsi="楷体_GB2312" w:eastAsia="楷体_GB2312" w:cs="楷体_GB2312"/>
          <w:sz w:val="28"/>
          <w:szCs w:val="28"/>
          <w:lang w:val="en-US" w:eastAsia="zh-CN"/>
        </w:rPr>
        <w:t>3.监护设备体征数据集成功能</w:t>
      </w:r>
      <w:bookmarkEnd w:id="3"/>
    </w:p>
    <w:p w14:paraId="3011B261">
      <w:pPr>
        <w:pStyle w:val="39"/>
        <w:numPr>
          <w:ilvl w:val="0"/>
          <w:numId w:val="0"/>
        </w:numPr>
        <w:spacing w:line="360" w:lineRule="auto"/>
        <w:ind w:firstLine="560" w:firstLineChars="200"/>
        <w:jc w:val="both"/>
        <w:textAlignment w:val="baseline"/>
        <w:rPr>
          <w:rFonts w:hint="default"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支持床旁监护仪设备输出数据的自动采集并将数据实时传送到服务器数据库内存储。系统默认采集频率为30秒采集一组体征数据，可以根据手术要求，结合监护仪数据输出协议，最快支持1秒采集一组数据。能够设置权限，允许部分用户对于受到干扰不正确的数据进行修正，并可以对修正后的结果进行突出显示。可以导出术中监护体征数据，用于科研。</w:t>
      </w:r>
    </w:p>
    <w:p w14:paraId="7FC343E0">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4" w:name="_Toc28420"/>
      <w:r>
        <w:rPr>
          <w:rFonts w:hint="eastAsia" w:ascii="楷体_GB2312" w:hAnsi="楷体_GB2312" w:eastAsia="楷体_GB2312" w:cs="楷体_GB2312"/>
          <w:sz w:val="28"/>
          <w:szCs w:val="28"/>
          <w:lang w:val="en-US" w:eastAsia="zh-CN"/>
        </w:rPr>
        <w:t>4.麻醉记录功能</w:t>
      </w:r>
      <w:bookmarkEnd w:id="4"/>
    </w:p>
    <w:p w14:paraId="7201F927">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支持从手术安排结果中提取患者基本信息、手术人员安排信息自动填充到麻醉记录单中。</w:t>
      </w:r>
    </w:p>
    <w:p w14:paraId="38B4C309">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自动获取麻醉医生录入麻醉事件时间作为事件发生时间（或持续事件的起始时间），自动匹配该事件对应的剂量、途径、持续情况等。在现有用药事件基础上实现快速追加录入。在药品录入时自动匹配录入的药品剂量、浓度、速度单位。</w:t>
      </w:r>
    </w:p>
    <w:p w14:paraId="21BB0922">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以公有和私有的方式管理麻醉记录单模板，实现以模板套用的方式辅助麻醉医生快速录入完成麻醉单。</w:t>
      </w:r>
    </w:p>
    <w:p w14:paraId="53FCDE02">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配置快捷药品事件栏以及药品常用量，实现常用药品、事件的快速录入。</w:t>
      </w:r>
    </w:p>
    <w:p w14:paraId="3BEFACB4">
      <w:pPr>
        <w:pStyle w:val="39"/>
        <w:numPr>
          <w:ilvl w:val="0"/>
          <w:numId w:val="0"/>
        </w:numPr>
        <w:spacing w:line="360" w:lineRule="auto"/>
        <w:ind w:firstLine="560" w:firstLineChars="200"/>
        <w:jc w:val="both"/>
        <w:textAlignment w:val="baseline"/>
        <w:rPr>
          <w:rFonts w:hint="default"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可以对术中连续事件进行倒计时提醒，可以设置提醒的时间类型及倒计时时长。例如：如麻醉医师在添加主动脉阻断时，可设置阻断时间，系</w:t>
      </w:r>
      <w:bookmarkStart w:id="17" w:name="_GoBack"/>
      <w:bookmarkEnd w:id="17"/>
      <w:r>
        <w:rPr>
          <w:rFonts w:hint="eastAsia" w:ascii="楷体_GB2312" w:hAnsi="楷体_GB2312" w:eastAsia="楷体_GB2312" w:cs="楷体_GB2312"/>
          <w:sz w:val="28"/>
          <w:szCs w:val="28"/>
          <w:lang w:val="en-US" w:eastAsia="zh-CN"/>
        </w:rPr>
        <w:t>统开始倒计时提示，“主动脉阻断，倒计时10分钟。”</w:t>
      </w:r>
    </w:p>
    <w:p w14:paraId="47CB51BD">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将术中麻醉操作以数字序号方式标记在治疗序号区域对应时间点，对应麻醉备注区域事件详情，并可以自行维护或添加一些新的麻醉事件。</w:t>
      </w:r>
    </w:p>
    <w:p w14:paraId="66096691">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支持设置体征参数在麻醉单上的显示方式。</w:t>
      </w:r>
    </w:p>
    <w:p w14:paraId="7B228E41">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可为每项生命体征设定标准值范围，超过标准值的体征，系统自动报警，并在麻醉单上特殊显示，保障患者安全；</w:t>
      </w:r>
    </w:p>
    <w:p w14:paraId="50B433E6">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模拟监护仪对体征参数进行动态显示。</w:t>
      </w:r>
    </w:p>
    <w:p w14:paraId="382D4CE4">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提供辅助用户对受到干扰的伪差生命体征数据进行修正的功能。</w:t>
      </w:r>
    </w:p>
    <w:p w14:paraId="779E4775">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支持麻醉记录单界面缩放功能，可对麻醉记录单进行放大或缩小操作，放大或缩小后的麻醉记录单可进行用药事件的记录和操作。</w:t>
      </w:r>
    </w:p>
    <w:p w14:paraId="2A3B13F9">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系统支持直接在麻醉记录单上拖动调整用药时间及持续时间，方便医生可根据实际用药时间在麻醉记录单上进行快速调整，简化操作流程。</w:t>
      </w:r>
    </w:p>
    <w:p w14:paraId="7A343447">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系统支持直接在麻醉记录单上拖动快速调整输血、出量、入量时间，医生可根据实际输血、出量、入量发生时间在麻醉记录单上用鼠标进行快速调整，简化修改操作流程。</w:t>
      </w:r>
    </w:p>
    <w:p w14:paraId="400FC2D0">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系统支持直接在麻醉记录单上移动鼠标完成术中监护体征曲线的描绘。</w:t>
      </w:r>
    </w:p>
    <w:p w14:paraId="18C52754">
      <w:pPr>
        <w:pStyle w:val="39"/>
        <w:numPr>
          <w:ilvl w:val="0"/>
          <w:numId w:val="0"/>
        </w:numPr>
        <w:spacing w:line="360" w:lineRule="auto"/>
        <w:ind w:firstLine="560" w:firstLineChars="200"/>
        <w:jc w:val="both"/>
        <w:textAlignment w:val="baseline"/>
        <w:rPr>
          <w:rFonts w:hint="default"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系统</w:t>
      </w:r>
      <w:r>
        <w:rPr>
          <w:rFonts w:hint="default" w:ascii="楷体_GB2312" w:hAnsi="楷体_GB2312" w:eastAsia="楷体_GB2312" w:cs="楷体_GB2312"/>
          <w:sz w:val="28"/>
          <w:szCs w:val="28"/>
          <w:lang w:val="en-US" w:eastAsia="zh-CN"/>
        </w:rPr>
        <w:t>支持</w:t>
      </w:r>
      <w:r>
        <w:rPr>
          <w:rFonts w:hint="eastAsia" w:ascii="楷体_GB2312" w:hAnsi="楷体_GB2312" w:eastAsia="楷体_GB2312" w:cs="楷体_GB2312"/>
          <w:sz w:val="28"/>
          <w:szCs w:val="28"/>
          <w:lang w:val="en-US" w:eastAsia="zh-CN"/>
        </w:rPr>
        <w:t>记录</w:t>
      </w:r>
      <w:r>
        <w:rPr>
          <w:rFonts w:hint="default" w:ascii="楷体_GB2312" w:hAnsi="楷体_GB2312" w:eastAsia="楷体_GB2312" w:cs="楷体_GB2312"/>
          <w:sz w:val="28"/>
          <w:szCs w:val="28"/>
          <w:lang w:val="en-US" w:eastAsia="zh-CN"/>
        </w:rPr>
        <w:t>输液输血通道通道名称，不同通道</w:t>
      </w:r>
      <w:r>
        <w:rPr>
          <w:rFonts w:hint="eastAsia" w:ascii="楷体_GB2312" w:hAnsi="楷体_GB2312" w:eastAsia="楷体_GB2312" w:cs="楷体_GB2312"/>
          <w:sz w:val="28"/>
          <w:szCs w:val="28"/>
          <w:lang w:val="en-US" w:eastAsia="zh-CN"/>
        </w:rPr>
        <w:t>以</w:t>
      </w:r>
      <w:r>
        <w:rPr>
          <w:rFonts w:hint="default" w:ascii="楷体_GB2312" w:hAnsi="楷体_GB2312" w:eastAsia="楷体_GB2312" w:cs="楷体_GB2312"/>
          <w:sz w:val="28"/>
          <w:szCs w:val="28"/>
          <w:lang w:val="en-US" w:eastAsia="zh-CN"/>
        </w:rPr>
        <w:t>不同颜色区分。</w:t>
      </w:r>
    </w:p>
    <w:p w14:paraId="669349B6">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支持术中出入量汇总，支持配置自动计算。</w:t>
      </w:r>
    </w:p>
    <w:p w14:paraId="477F730A">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麻醉医生在术中登记中会录入很多麻醉用药、事件，系统可通过后台分析，根据术中登记用药、事件的使用频次，动态调整事件显示顺序，频次使用高的事件将被排在前面，方便医生下次快速进行选择和录入，减少每次查询事件的时间，提高文书录入效率。</w:t>
      </w:r>
    </w:p>
    <w:p w14:paraId="10B9E67A">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支持根据患者出手术室情况，麻醉记录单体征数据和持续事件可自动结束。</w:t>
      </w:r>
    </w:p>
    <w:p w14:paraId="6F9AD971">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5" w:name="_Toc31971"/>
      <w:r>
        <w:rPr>
          <w:rFonts w:hint="eastAsia" w:ascii="楷体_GB2312" w:hAnsi="楷体_GB2312" w:eastAsia="楷体_GB2312" w:cs="楷体_GB2312"/>
          <w:sz w:val="28"/>
          <w:szCs w:val="28"/>
          <w:lang w:val="en-US" w:eastAsia="zh-CN"/>
        </w:rPr>
        <w:t>5.抢救模式功能</w:t>
      </w:r>
      <w:bookmarkEnd w:id="5"/>
    </w:p>
    <w:p w14:paraId="1103002A">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术中可对患者体征密集进行监护采集与记录。当术中患者出现异常时，系统支持一键进入患者抢救模式，抢救模式下，在麻醉记录单上每一分钟显示一组，方便医护人员查看患者密集体征变化趋势，更好的了解和处理病情。</w:t>
      </w:r>
    </w:p>
    <w:p w14:paraId="1031A70D">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6" w:name="_Toc6580"/>
      <w:r>
        <w:rPr>
          <w:rFonts w:hint="eastAsia" w:ascii="楷体_GB2312" w:hAnsi="楷体_GB2312" w:eastAsia="楷体_GB2312" w:cs="楷体_GB2312"/>
          <w:sz w:val="28"/>
          <w:szCs w:val="28"/>
          <w:lang w:val="en-US" w:eastAsia="zh-CN"/>
        </w:rPr>
        <w:t>6.术后复苏记录功能</w:t>
      </w:r>
      <w:bookmarkEnd w:id="6"/>
    </w:p>
    <w:p w14:paraId="19FAB126">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记录术后复苏过程并能够自动生成独立的术后复苏单，支持复苏记录单延续术中麻醉记录单。</w:t>
      </w:r>
    </w:p>
    <w:p w14:paraId="6B03AE87">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7" w:name="_Toc7587"/>
      <w:r>
        <w:rPr>
          <w:rFonts w:hint="eastAsia" w:ascii="楷体_GB2312" w:hAnsi="楷体_GB2312" w:eastAsia="楷体_GB2312" w:cs="楷体_GB2312"/>
          <w:sz w:val="28"/>
          <w:szCs w:val="28"/>
          <w:lang w:val="en-US" w:eastAsia="zh-CN"/>
        </w:rPr>
        <w:t>7.术后手术登记功能</w:t>
      </w:r>
      <w:bookmarkEnd w:id="7"/>
    </w:p>
    <w:p w14:paraId="74EFE70B">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术后登记功能模块支持对手术患者进行术后手术信息登记；并支持字典调用方式完成术后手术信息的登记，多用于局麻手术的补登记、急诊未知科室的病人科室信息补全。</w:t>
      </w:r>
    </w:p>
    <w:p w14:paraId="37D152D3">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8" w:name="_Toc14756"/>
      <w:r>
        <w:rPr>
          <w:rFonts w:hint="eastAsia" w:ascii="楷体_GB2312" w:hAnsi="楷体_GB2312" w:eastAsia="楷体_GB2312" w:cs="楷体_GB2312"/>
          <w:sz w:val="28"/>
          <w:szCs w:val="28"/>
          <w:lang w:val="en-US" w:eastAsia="zh-CN"/>
        </w:rPr>
        <w:t>8.术后访视记录功能</w:t>
      </w:r>
      <w:bookmarkEnd w:id="8"/>
    </w:p>
    <w:p w14:paraId="23E32E92">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术后随访功能模块支持按照院方要求及术后情况自动生成术后随访记录单；支持手术信息自动提取，方便医生快速填写随访单；支持多次随访记录；支持文书保存模板，且能够选择性的调用模板。</w:t>
      </w:r>
    </w:p>
    <w:p w14:paraId="0D0E9484">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9" w:name="_Toc2409"/>
      <w:r>
        <w:rPr>
          <w:rFonts w:hint="eastAsia" w:ascii="楷体_GB2312" w:hAnsi="楷体_GB2312" w:eastAsia="楷体_GB2312" w:cs="楷体_GB2312"/>
          <w:sz w:val="28"/>
          <w:szCs w:val="28"/>
          <w:lang w:val="en-US" w:eastAsia="zh-CN"/>
        </w:rPr>
        <w:t>9.术后麻醉总结功能</w:t>
      </w:r>
      <w:bookmarkEnd w:id="9"/>
    </w:p>
    <w:p w14:paraId="1FD1D186">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记录麻醉过程、麻醉效果等进行总结，形成麻醉总结单。</w:t>
      </w:r>
    </w:p>
    <w:p w14:paraId="5E7D8DB1">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0" w:name="_Toc7471"/>
      <w:r>
        <w:rPr>
          <w:rFonts w:hint="eastAsia" w:ascii="楷体_GB2312" w:hAnsi="楷体_GB2312" w:eastAsia="楷体_GB2312" w:cs="楷体_GB2312"/>
          <w:sz w:val="28"/>
          <w:szCs w:val="28"/>
          <w:lang w:val="en-US" w:eastAsia="zh-CN"/>
        </w:rPr>
        <w:t>10.术后麻醉评分功能</w:t>
      </w:r>
      <w:bookmarkEnd w:id="10"/>
    </w:p>
    <w:p w14:paraId="2494B147">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提供麻醉复苏（Steward苏醒评分）、疼痛评分。</w:t>
      </w:r>
    </w:p>
    <w:p w14:paraId="2EDD13AD">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1" w:name="_Toc19788"/>
      <w:r>
        <w:rPr>
          <w:rFonts w:hint="eastAsia" w:ascii="楷体_GB2312" w:hAnsi="楷体_GB2312" w:eastAsia="楷体_GB2312" w:cs="楷体_GB2312"/>
          <w:sz w:val="28"/>
          <w:szCs w:val="28"/>
          <w:lang w:val="en-US" w:eastAsia="zh-CN"/>
        </w:rPr>
        <w:t>11.信息系统接口支持功能</w:t>
      </w:r>
      <w:bookmarkEnd w:id="11"/>
    </w:p>
    <w:p w14:paraId="7366C87E">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信息集成平台支持WEB services、视图集成；支持通过HIS和PACS获取患者基本信息、医嘱信息、住院信息、手术申请信息等；支持通过LIS获取患者检验报告。</w:t>
      </w:r>
    </w:p>
    <w:p w14:paraId="0613F704">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2" w:name="_Toc23702"/>
      <w:r>
        <w:rPr>
          <w:rFonts w:hint="eastAsia" w:ascii="楷体_GB2312" w:hAnsi="楷体_GB2312" w:eastAsia="楷体_GB2312" w:cs="楷体_GB2312"/>
          <w:sz w:val="28"/>
          <w:szCs w:val="28"/>
          <w:lang w:val="en-US" w:eastAsia="zh-CN"/>
        </w:rPr>
        <w:t>12.设备数据接口基本功能</w:t>
      </w:r>
      <w:bookmarkEnd w:id="12"/>
    </w:p>
    <w:p w14:paraId="69B3E9E3">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设备集成平台支持各类床旁监护设备的采集，如实时获取监护仪上的血压、脉搏、心率、SPO2等患者生命体征信息；实时记录断网情况下的当台患者体征数据；离线保存采集到的体征数据。</w:t>
      </w:r>
    </w:p>
    <w:p w14:paraId="2582BA9C">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3" w:name="_Toc27142"/>
      <w:r>
        <w:rPr>
          <w:rFonts w:hint="eastAsia" w:ascii="楷体_GB2312" w:hAnsi="楷体_GB2312" w:eastAsia="楷体_GB2312" w:cs="楷体_GB2312"/>
          <w:sz w:val="28"/>
          <w:szCs w:val="28"/>
          <w:lang w:val="en-US" w:eastAsia="zh-CN"/>
        </w:rPr>
        <w:t>13.维护基础信息功能</w:t>
      </w:r>
      <w:bookmarkEnd w:id="13"/>
    </w:p>
    <w:p w14:paraId="510F39ED">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基础数据维护功能模块支持字典维护功能，可通过HIS更新本地字典，支持用户手工维护本地字典；支持科室手术间维护；支持麻醉字典维护功能，可配置麻醉记录字典，包括麻醉事件、麻醉常用量、麻醉方法。</w:t>
      </w:r>
    </w:p>
    <w:p w14:paraId="4FF76833">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4" w:name="_Toc317"/>
      <w:r>
        <w:rPr>
          <w:rFonts w:hint="eastAsia" w:ascii="楷体_GB2312" w:hAnsi="楷体_GB2312" w:eastAsia="楷体_GB2312" w:cs="楷体_GB2312"/>
          <w:sz w:val="28"/>
          <w:szCs w:val="28"/>
          <w:lang w:val="en-US" w:eastAsia="zh-CN"/>
        </w:rPr>
        <w:t>14.文书模板管理功能</w:t>
      </w:r>
      <w:bookmarkEnd w:id="14"/>
    </w:p>
    <w:p w14:paraId="2DAF7E5C">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基础数据维护功能模块支持将现有医疗文书内容保存为模板；支持快速套用系统维护的医疗文书模版；支持配置文书模版，包括麻醉记录模版、手术清点模版、访视模版等；支持管理员对公有模版进行编辑维护；支持麻醉医生创建私有模版，仅限创建者可见。</w:t>
      </w:r>
    </w:p>
    <w:p w14:paraId="2BE9CF05">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bookmarkStart w:id="15" w:name="_Toc26802"/>
      <w:r>
        <w:rPr>
          <w:rFonts w:hint="eastAsia" w:ascii="楷体_GB2312" w:hAnsi="楷体_GB2312" w:eastAsia="楷体_GB2312" w:cs="楷体_GB2312"/>
          <w:sz w:val="28"/>
          <w:szCs w:val="28"/>
          <w:lang w:val="en-US" w:eastAsia="zh-CN"/>
        </w:rPr>
        <w:t>15.</w:t>
      </w:r>
      <w:bookmarkEnd w:id="15"/>
      <w:bookmarkStart w:id="16" w:name="_Toc10228"/>
      <w:r>
        <w:rPr>
          <w:rFonts w:hint="eastAsia" w:ascii="楷体_GB2312" w:hAnsi="楷体_GB2312" w:eastAsia="楷体_GB2312" w:cs="楷体_GB2312"/>
          <w:sz w:val="28"/>
          <w:szCs w:val="28"/>
          <w:lang w:val="en-US" w:eastAsia="zh-CN"/>
        </w:rPr>
        <w:t>文书CA电子签名</w:t>
      </w:r>
      <w:bookmarkEnd w:id="16"/>
    </w:p>
    <w:p w14:paraId="670708AD">
      <w:pPr>
        <w:pStyle w:val="39"/>
        <w:numPr>
          <w:ilvl w:val="0"/>
          <w:numId w:val="0"/>
        </w:numPr>
        <w:spacing w:line="360" w:lineRule="auto"/>
        <w:ind w:firstLine="560" w:firstLineChars="200"/>
        <w:jc w:val="both"/>
        <w:textAlignment w:val="baseline"/>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与住院手术室系统一致，文书实现医生、护士和患者的CA电子签名。</w:t>
      </w:r>
    </w:p>
    <w:p w14:paraId="3057B7BC">
      <w:pPr>
        <w:pStyle w:val="39"/>
        <w:numPr>
          <w:ilvl w:val="0"/>
          <w:numId w:val="5"/>
        </w:numPr>
        <w:spacing w:line="360" w:lineRule="auto"/>
        <w:ind w:left="425" w:leftChars="0" w:hanging="425" w:firstLineChars="0"/>
        <w:textAlignment w:val="baseline"/>
        <w:rPr>
          <w:rFonts w:hint="eastAsia" w:ascii="楷体_GB2312" w:hAnsi="楷体_GB2312" w:eastAsia="楷体_GB2312" w:cs="楷体_GB2312"/>
          <w:color w:val="auto"/>
          <w:sz w:val="28"/>
          <w:szCs w:val="28"/>
          <w:highlight w:val="none"/>
          <w:lang w:val="en-US" w:eastAsia="zh-CN"/>
        </w:rPr>
      </w:pPr>
      <w:r>
        <w:rPr>
          <w:rFonts w:hint="eastAsia" w:ascii="楷体_GB2312" w:hAnsi="楷体_GB2312" w:eastAsia="楷体_GB2312" w:cs="楷体_GB2312"/>
          <w:color w:val="auto"/>
          <w:sz w:val="28"/>
          <w:szCs w:val="28"/>
          <w:highlight w:val="none"/>
          <w:lang w:val="en-US" w:eastAsia="zh-CN"/>
        </w:rPr>
        <w:t>服务方式</w:t>
      </w:r>
    </w:p>
    <w:p w14:paraId="121D7E52">
      <w:pPr>
        <w:spacing w:line="360" w:lineRule="auto"/>
        <w:ind w:firstLine="560" w:firstLineChars="200"/>
        <w:textAlignment w:val="baseline"/>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1）热线电话</w:t>
      </w:r>
    </w:p>
    <w:p w14:paraId="46E0C239">
      <w:pPr>
        <w:spacing w:line="360" w:lineRule="auto"/>
        <w:ind w:firstLine="560" w:firstLineChars="200"/>
        <w:textAlignment w:val="baseline"/>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用户系统出现问题时，客户可以从支持服务中心得到及时有效的电话支持。支持时间为7*24小时。故障受理后，维护人员将在规定时间内做出响应，先通过电话指导进行常规检查，判断故障范围，根据故障难度进行处理。针对一般故障的故障，可以通过电话在线帮助客户解决问题，在线解决不了的，公司第一时间调度工程师现场服务。</w:t>
      </w:r>
    </w:p>
    <w:p w14:paraId="01FCC520">
      <w:pPr>
        <w:spacing w:line="360" w:lineRule="auto"/>
        <w:ind w:firstLine="560" w:firstLineChars="200"/>
        <w:textAlignment w:val="baseline"/>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2）远程网络支持</w:t>
      </w:r>
    </w:p>
    <w:p w14:paraId="5D705B6D">
      <w:pPr>
        <w:spacing w:line="360" w:lineRule="auto"/>
        <w:ind w:firstLine="560" w:firstLineChars="200"/>
        <w:textAlignment w:val="baseline"/>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公司还提供远程网络支持服务。根据客户的需要，客户还可选用支持服务中心的远程互联网服务，支持服务中心的工程师将通过网络技术，远程操作，检查问题，解决部分小型故障等问题，以便快速地解决客户的问题。</w:t>
      </w:r>
    </w:p>
    <w:p w14:paraId="44CADD2C">
      <w:pPr>
        <w:spacing w:line="360" w:lineRule="auto"/>
        <w:ind w:firstLine="560" w:firstLineChars="200"/>
        <w:textAlignment w:val="baseline"/>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3）现场响应</w:t>
      </w:r>
    </w:p>
    <w:p w14:paraId="44F3DF91">
      <w:pPr>
        <w:spacing w:line="360" w:lineRule="auto"/>
        <w:ind w:firstLine="560" w:firstLineChars="200"/>
        <w:textAlignment w:val="baseline"/>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如果问题不能通过电话、远程网络的方式解决，支持服务中心会派出经验丰富的工程师到现场为用户解决问题。服务人员将在</w:t>
      </w:r>
      <w:r>
        <w:rPr>
          <w:rFonts w:hint="eastAsia" w:ascii="楷体_GB2312" w:hAnsi="楷体_GB2312" w:eastAsia="楷体_GB2312" w:cs="楷体_GB2312"/>
          <w:sz w:val="28"/>
          <w:szCs w:val="28"/>
          <w:lang w:val="en-US" w:eastAsia="zh-CN"/>
        </w:rPr>
        <w:t>24</w:t>
      </w:r>
      <w:r>
        <w:rPr>
          <w:rFonts w:hint="eastAsia" w:ascii="楷体_GB2312" w:hAnsi="楷体_GB2312" w:eastAsia="楷体_GB2312" w:cs="楷体_GB2312"/>
          <w:sz w:val="28"/>
          <w:szCs w:val="28"/>
        </w:rPr>
        <w:t>小时内可到达现场，7*24小时内解决客户问题。</w:t>
      </w:r>
    </w:p>
    <w:sectPr>
      <w:headerReference r:id="rId3" w:type="default"/>
      <w:footerReference r:id="rId4"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Songti SC">
    <w:altName w:val="微软雅黑"/>
    <w:panose1 w:val="00000000000000000000"/>
    <w:charset w:val="86"/>
    <w:family w:val="auto"/>
    <w:pitch w:val="default"/>
    <w:sig w:usb0="00000000" w:usb1="00000000" w:usb2="00000000" w:usb3="00000000" w:csb0="00040000" w:csb1="00000000"/>
  </w:font>
  <w:font w:name="SimSun-ExtB">
    <w:panose1 w:val="02010609060101010101"/>
    <w:charset w:val="86"/>
    <w:family w:val="modern"/>
    <w:pitch w:val="default"/>
    <w:sig w:usb0="00000001" w:usb1="02000000" w:usb2="00000000" w:usb3="00000000" w:csb0="00040001" w:csb1="00000000"/>
  </w:font>
  <w:font w:name="Times New Roman (正文 CS 字体)">
    <w:altName w:val="宋体"/>
    <w:panose1 w:val="00000000000000000000"/>
    <w:charset w:val="86"/>
    <w:family w:val="roman"/>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A3006">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4A3BDE">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34A3BDE">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43555">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CBD02F"/>
    <w:multiLevelType w:val="singleLevel"/>
    <w:tmpl w:val="E5CBD02F"/>
    <w:lvl w:ilvl="0" w:tentative="0">
      <w:start w:val="1"/>
      <w:numFmt w:val="decimal"/>
      <w:lvlText w:val="(%1)"/>
      <w:lvlJc w:val="left"/>
      <w:pPr>
        <w:ind w:left="425" w:hanging="425"/>
      </w:pPr>
      <w:rPr>
        <w:rFonts w:hint="default"/>
      </w:rPr>
    </w:lvl>
  </w:abstractNum>
  <w:abstractNum w:abstractNumId="1">
    <w:nsid w:val="2D985FB2"/>
    <w:multiLevelType w:val="multilevel"/>
    <w:tmpl w:val="2D985FB2"/>
    <w:lvl w:ilvl="0" w:tentative="0">
      <w:start w:val="1"/>
      <w:numFmt w:val="decimal"/>
      <w:pStyle w:val="37"/>
      <w:lvlText w:val="%1."/>
      <w:lvlJc w:val="left"/>
      <w:pPr>
        <w:ind w:left="553" w:hanging="440"/>
      </w:pPr>
    </w:lvl>
    <w:lvl w:ilvl="1" w:tentative="0">
      <w:start w:val="1"/>
      <w:numFmt w:val="lowerLetter"/>
      <w:lvlText w:val="%2)"/>
      <w:lvlJc w:val="left"/>
      <w:pPr>
        <w:ind w:left="1080" w:hanging="440"/>
      </w:pPr>
    </w:lvl>
    <w:lvl w:ilvl="2" w:tentative="0">
      <w:start w:val="1"/>
      <w:numFmt w:val="lowerRoman"/>
      <w:lvlText w:val="%3."/>
      <w:lvlJc w:val="right"/>
      <w:pPr>
        <w:ind w:left="1520" w:hanging="440"/>
      </w:pPr>
    </w:lvl>
    <w:lvl w:ilvl="3" w:tentative="0">
      <w:start w:val="1"/>
      <w:numFmt w:val="decimal"/>
      <w:lvlText w:val="%4."/>
      <w:lvlJc w:val="left"/>
      <w:pPr>
        <w:ind w:left="1960" w:hanging="440"/>
      </w:pPr>
    </w:lvl>
    <w:lvl w:ilvl="4" w:tentative="0">
      <w:start w:val="1"/>
      <w:numFmt w:val="lowerLetter"/>
      <w:lvlText w:val="%5)"/>
      <w:lvlJc w:val="left"/>
      <w:pPr>
        <w:ind w:left="2400" w:hanging="440"/>
      </w:pPr>
    </w:lvl>
    <w:lvl w:ilvl="5" w:tentative="0">
      <w:start w:val="1"/>
      <w:numFmt w:val="lowerRoman"/>
      <w:lvlText w:val="%6."/>
      <w:lvlJc w:val="right"/>
      <w:pPr>
        <w:ind w:left="2840" w:hanging="440"/>
      </w:pPr>
    </w:lvl>
    <w:lvl w:ilvl="6" w:tentative="0">
      <w:start w:val="1"/>
      <w:numFmt w:val="decimal"/>
      <w:lvlText w:val="%7."/>
      <w:lvlJc w:val="left"/>
      <w:pPr>
        <w:ind w:left="3280" w:hanging="440"/>
      </w:pPr>
    </w:lvl>
    <w:lvl w:ilvl="7" w:tentative="0">
      <w:start w:val="1"/>
      <w:numFmt w:val="lowerLetter"/>
      <w:lvlText w:val="%8)"/>
      <w:lvlJc w:val="left"/>
      <w:pPr>
        <w:ind w:left="3720" w:hanging="440"/>
      </w:pPr>
    </w:lvl>
    <w:lvl w:ilvl="8" w:tentative="0">
      <w:start w:val="1"/>
      <w:numFmt w:val="lowerRoman"/>
      <w:lvlText w:val="%9."/>
      <w:lvlJc w:val="right"/>
      <w:pPr>
        <w:ind w:left="4160" w:hanging="440"/>
      </w:pPr>
    </w:lvl>
  </w:abstractNum>
  <w:abstractNum w:abstractNumId="2">
    <w:nsid w:val="4DA574AD"/>
    <w:multiLevelType w:val="multilevel"/>
    <w:tmpl w:val="4DA574AD"/>
    <w:lvl w:ilvl="0" w:tentative="0">
      <w:start w:val="1"/>
      <w:numFmt w:val="decimal"/>
      <w:lvlText w:val="%1"/>
      <w:lvlJc w:val="left"/>
      <w:pPr>
        <w:ind w:left="432" w:hanging="432"/>
      </w:pPr>
    </w:lvl>
    <w:lvl w:ilvl="1" w:tentative="0">
      <w:start w:val="1"/>
      <w:numFmt w:val="decimal"/>
      <w:pStyle w:val="3"/>
      <w:lvlText w:val="%1.%2"/>
      <w:lvlJc w:val="left"/>
      <w:pPr>
        <w:ind w:left="576" w:hanging="576"/>
      </w:pPr>
    </w:lvl>
    <w:lvl w:ilvl="2" w:tentative="0">
      <w:start w:val="1"/>
      <w:numFmt w:val="decimal"/>
      <w:lvlText w:val="%1.%2.%3"/>
      <w:lvlJc w:val="left"/>
      <w:pPr>
        <w:ind w:left="3698"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3">
    <w:nsid w:val="5621750A"/>
    <w:multiLevelType w:val="singleLevel"/>
    <w:tmpl w:val="5621750A"/>
    <w:lvl w:ilvl="0" w:tentative="0">
      <w:start w:val="1"/>
      <w:numFmt w:val="decimal"/>
      <w:lvlText w:val="%1."/>
      <w:lvlJc w:val="left"/>
      <w:pPr>
        <w:ind w:left="425" w:hanging="425"/>
      </w:pPr>
      <w:rPr>
        <w:rFonts w:hint="default"/>
      </w:rPr>
    </w:lvl>
  </w:abstractNum>
  <w:abstractNum w:abstractNumId="4">
    <w:nsid w:val="6486337D"/>
    <w:multiLevelType w:val="multilevel"/>
    <w:tmpl w:val="6486337D"/>
    <w:lvl w:ilvl="0" w:tentative="0">
      <w:start w:val="1"/>
      <w:numFmt w:val="decimal"/>
      <w:isLgl/>
      <w:lvlText w:val="%1."/>
      <w:lvlJc w:val="left"/>
      <w:pPr>
        <w:ind w:left="709" w:hanging="709"/>
      </w:pPr>
      <w:rPr>
        <w:rFonts w:hint="eastAsia"/>
      </w:rPr>
    </w:lvl>
    <w:lvl w:ilvl="1" w:tentative="0">
      <w:start w:val="1"/>
      <w:numFmt w:val="decimal"/>
      <w:isLgl/>
      <w:lvlText w:val="%1.%2"/>
      <w:lvlJc w:val="left"/>
      <w:pPr>
        <w:ind w:left="992" w:hanging="992"/>
      </w:pPr>
    </w:lvl>
    <w:lvl w:ilvl="2" w:tentative="0">
      <w:start w:val="1"/>
      <w:numFmt w:val="decimal"/>
      <w:lvlText w:val="%1.%2.%3"/>
      <w:lvlJc w:val="left"/>
      <w:pPr>
        <w:ind w:left="1418" w:hanging="1418"/>
      </w:pPr>
      <w:rPr>
        <w:rFonts w:hint="eastAsia"/>
      </w:rPr>
    </w:lvl>
    <w:lvl w:ilvl="3" w:tentative="0">
      <w:start w:val="1"/>
      <w:numFmt w:val="decimal"/>
      <w:pStyle w:val="38"/>
      <w:lvlText w:val="%1.%2.%3.%4"/>
      <w:lvlJc w:val="left"/>
      <w:pPr>
        <w:ind w:left="1984" w:hanging="1984"/>
      </w:pPr>
      <w:rPr>
        <w:rFonts w:hint="eastAsia"/>
      </w:rPr>
    </w:lvl>
    <w:lvl w:ilvl="4" w:tentative="0">
      <w:start w:val="1"/>
      <w:numFmt w:val="decimal"/>
      <w:isLgl/>
      <w:lvlText w:val="%1.%2.%3.%4.%5"/>
      <w:lvlJc w:val="left"/>
      <w:pPr>
        <w:ind w:left="2551" w:hanging="2551"/>
      </w:pPr>
      <w:rPr>
        <w:rFonts w:hint="eastAsia"/>
      </w:rPr>
    </w:lvl>
    <w:lvl w:ilvl="5" w:tentative="0">
      <w:start w:val="1"/>
      <w:numFmt w:val="decimal"/>
      <w:lvlText w:val="%1.%2.%3.%4.%5.%6"/>
      <w:lvlJc w:val="left"/>
      <w:pPr>
        <w:ind w:left="3260" w:hanging="3260"/>
      </w:pPr>
      <w:rPr>
        <w:rFonts w:hint="eastAsia"/>
      </w:rPr>
    </w:lvl>
    <w:lvl w:ilvl="6" w:tentative="0">
      <w:start w:val="1"/>
      <w:numFmt w:val="decimal"/>
      <w:lvlText w:val="%1.%2.%3.%4.%5.%6.%7"/>
      <w:lvlJc w:val="left"/>
      <w:pPr>
        <w:ind w:left="3827" w:hanging="3827"/>
      </w:pPr>
      <w:rPr>
        <w:rFonts w:hint="eastAsia"/>
      </w:rPr>
    </w:lvl>
    <w:lvl w:ilvl="7" w:tentative="0">
      <w:start w:val="1"/>
      <w:numFmt w:val="decimal"/>
      <w:lvlText w:val="%1.%2.%3.%4.%5.%6.%7.%8"/>
      <w:lvlJc w:val="left"/>
      <w:pPr>
        <w:ind w:left="4394" w:hanging="4394"/>
      </w:pPr>
      <w:rPr>
        <w:rFonts w:hint="eastAsia"/>
      </w:rPr>
    </w:lvl>
    <w:lvl w:ilvl="8" w:tentative="0">
      <w:start w:val="1"/>
      <w:numFmt w:val="decimal"/>
      <w:lvlText w:val="%1.%2.%3.%4.%5.%6.%7.%8.%9"/>
      <w:lvlJc w:val="left"/>
      <w:pPr>
        <w:ind w:left="5102" w:hanging="5102"/>
      </w:pPr>
      <w:rPr>
        <w:rFonts w:hint="eastAsia"/>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QxYzVlMjExNDM1ZWEwMjEzMzFjZTZjMTUyZGRhMzYifQ=="/>
  </w:docVars>
  <w:rsids>
    <w:rsidRoot w:val="00826FF5"/>
    <w:rsid w:val="00000149"/>
    <w:rsid w:val="00024253"/>
    <w:rsid w:val="000C6164"/>
    <w:rsid w:val="0018639E"/>
    <w:rsid w:val="001F79A5"/>
    <w:rsid w:val="00242101"/>
    <w:rsid w:val="00275FAF"/>
    <w:rsid w:val="00282567"/>
    <w:rsid w:val="002F4B01"/>
    <w:rsid w:val="0037001B"/>
    <w:rsid w:val="003827AA"/>
    <w:rsid w:val="003A62AA"/>
    <w:rsid w:val="003D344D"/>
    <w:rsid w:val="003D3572"/>
    <w:rsid w:val="00465727"/>
    <w:rsid w:val="00466BAA"/>
    <w:rsid w:val="00583277"/>
    <w:rsid w:val="005D7C98"/>
    <w:rsid w:val="006221C7"/>
    <w:rsid w:val="006474BC"/>
    <w:rsid w:val="006613F8"/>
    <w:rsid w:val="006A71F2"/>
    <w:rsid w:val="006C3CDD"/>
    <w:rsid w:val="006E1671"/>
    <w:rsid w:val="0076066A"/>
    <w:rsid w:val="00762C57"/>
    <w:rsid w:val="00776280"/>
    <w:rsid w:val="007B6879"/>
    <w:rsid w:val="007C4059"/>
    <w:rsid w:val="007E2D6B"/>
    <w:rsid w:val="007F7BDD"/>
    <w:rsid w:val="00826FF5"/>
    <w:rsid w:val="00850343"/>
    <w:rsid w:val="00864B90"/>
    <w:rsid w:val="00864E1C"/>
    <w:rsid w:val="008A1C84"/>
    <w:rsid w:val="008A59D8"/>
    <w:rsid w:val="00906E3E"/>
    <w:rsid w:val="00970047"/>
    <w:rsid w:val="00971219"/>
    <w:rsid w:val="009A78FC"/>
    <w:rsid w:val="00AC76ED"/>
    <w:rsid w:val="00B20012"/>
    <w:rsid w:val="00B34C6A"/>
    <w:rsid w:val="00B378DB"/>
    <w:rsid w:val="00B43F76"/>
    <w:rsid w:val="00B63B01"/>
    <w:rsid w:val="00B95CEA"/>
    <w:rsid w:val="00BA690B"/>
    <w:rsid w:val="00BB441A"/>
    <w:rsid w:val="00BC1F0C"/>
    <w:rsid w:val="00BF6662"/>
    <w:rsid w:val="00C2406A"/>
    <w:rsid w:val="00C468C5"/>
    <w:rsid w:val="00C56E49"/>
    <w:rsid w:val="00C60C39"/>
    <w:rsid w:val="00CB7447"/>
    <w:rsid w:val="00D23F34"/>
    <w:rsid w:val="00D25623"/>
    <w:rsid w:val="00D41A17"/>
    <w:rsid w:val="00DE7970"/>
    <w:rsid w:val="00E21F9A"/>
    <w:rsid w:val="00E45D41"/>
    <w:rsid w:val="00E72723"/>
    <w:rsid w:val="00E862AB"/>
    <w:rsid w:val="00EE1977"/>
    <w:rsid w:val="00F17D98"/>
    <w:rsid w:val="00FF34EB"/>
    <w:rsid w:val="019A7BE4"/>
    <w:rsid w:val="01B53912"/>
    <w:rsid w:val="03353615"/>
    <w:rsid w:val="03741BC6"/>
    <w:rsid w:val="039C57C0"/>
    <w:rsid w:val="03A96A17"/>
    <w:rsid w:val="05BA14A2"/>
    <w:rsid w:val="05C658F0"/>
    <w:rsid w:val="05D171B7"/>
    <w:rsid w:val="05F10C5B"/>
    <w:rsid w:val="06636B52"/>
    <w:rsid w:val="06C70123"/>
    <w:rsid w:val="0704757D"/>
    <w:rsid w:val="073C42EF"/>
    <w:rsid w:val="080B1311"/>
    <w:rsid w:val="089C4EBD"/>
    <w:rsid w:val="08E33FDA"/>
    <w:rsid w:val="08E42587"/>
    <w:rsid w:val="0952725D"/>
    <w:rsid w:val="0A357927"/>
    <w:rsid w:val="0A822A77"/>
    <w:rsid w:val="0AD400E7"/>
    <w:rsid w:val="0C0753B4"/>
    <w:rsid w:val="0C127A61"/>
    <w:rsid w:val="0C593530"/>
    <w:rsid w:val="0D4C4E97"/>
    <w:rsid w:val="0DB461AA"/>
    <w:rsid w:val="0DCD52F8"/>
    <w:rsid w:val="0DF907B0"/>
    <w:rsid w:val="0DFE51FE"/>
    <w:rsid w:val="0F1F36E8"/>
    <w:rsid w:val="11524A76"/>
    <w:rsid w:val="120A60E3"/>
    <w:rsid w:val="123C5817"/>
    <w:rsid w:val="13565411"/>
    <w:rsid w:val="141540BF"/>
    <w:rsid w:val="145D451B"/>
    <w:rsid w:val="152677BF"/>
    <w:rsid w:val="153A2203"/>
    <w:rsid w:val="15945D2D"/>
    <w:rsid w:val="163B4312"/>
    <w:rsid w:val="16664F4D"/>
    <w:rsid w:val="17724345"/>
    <w:rsid w:val="17A153E1"/>
    <w:rsid w:val="17E13B91"/>
    <w:rsid w:val="17F827F9"/>
    <w:rsid w:val="18502F9D"/>
    <w:rsid w:val="1923266F"/>
    <w:rsid w:val="19505948"/>
    <w:rsid w:val="19A379CF"/>
    <w:rsid w:val="1A517C97"/>
    <w:rsid w:val="1B054D86"/>
    <w:rsid w:val="1B0A5019"/>
    <w:rsid w:val="1B901A5A"/>
    <w:rsid w:val="1D7C7DEA"/>
    <w:rsid w:val="1E0B62AB"/>
    <w:rsid w:val="1E0C3498"/>
    <w:rsid w:val="1E1272A7"/>
    <w:rsid w:val="1E2E1299"/>
    <w:rsid w:val="1E7FFB09"/>
    <w:rsid w:val="1EBC0DCD"/>
    <w:rsid w:val="1F2712BC"/>
    <w:rsid w:val="20674ED5"/>
    <w:rsid w:val="20B60D8D"/>
    <w:rsid w:val="20D87CE0"/>
    <w:rsid w:val="21326193"/>
    <w:rsid w:val="224E7275"/>
    <w:rsid w:val="23536B8E"/>
    <w:rsid w:val="23685089"/>
    <w:rsid w:val="23B16EF5"/>
    <w:rsid w:val="241C39CC"/>
    <w:rsid w:val="2497073E"/>
    <w:rsid w:val="24C60958"/>
    <w:rsid w:val="25330DD5"/>
    <w:rsid w:val="26995460"/>
    <w:rsid w:val="26CC272C"/>
    <w:rsid w:val="270B4AEF"/>
    <w:rsid w:val="296F549A"/>
    <w:rsid w:val="29CF6AAC"/>
    <w:rsid w:val="2A54710E"/>
    <w:rsid w:val="2A7A5F50"/>
    <w:rsid w:val="2D88263F"/>
    <w:rsid w:val="2E56677B"/>
    <w:rsid w:val="30344376"/>
    <w:rsid w:val="30424486"/>
    <w:rsid w:val="31AB2B70"/>
    <w:rsid w:val="325A5B61"/>
    <w:rsid w:val="33137EAC"/>
    <w:rsid w:val="3316552A"/>
    <w:rsid w:val="33483B2E"/>
    <w:rsid w:val="33617D16"/>
    <w:rsid w:val="338A5133"/>
    <w:rsid w:val="33D513CA"/>
    <w:rsid w:val="34AC732B"/>
    <w:rsid w:val="354B26A0"/>
    <w:rsid w:val="35FCBA2A"/>
    <w:rsid w:val="37EB0E37"/>
    <w:rsid w:val="39E52346"/>
    <w:rsid w:val="3AF53D36"/>
    <w:rsid w:val="3B006358"/>
    <w:rsid w:val="3B9D4A88"/>
    <w:rsid w:val="3C3F062E"/>
    <w:rsid w:val="3CB77334"/>
    <w:rsid w:val="3D7916A1"/>
    <w:rsid w:val="3E633F60"/>
    <w:rsid w:val="3EC72042"/>
    <w:rsid w:val="3F0D12C5"/>
    <w:rsid w:val="3F5F7C2B"/>
    <w:rsid w:val="3FD46CFA"/>
    <w:rsid w:val="3FEC5739"/>
    <w:rsid w:val="3FEE760D"/>
    <w:rsid w:val="42E02540"/>
    <w:rsid w:val="430F3F38"/>
    <w:rsid w:val="44AB3CCE"/>
    <w:rsid w:val="457C125B"/>
    <w:rsid w:val="45965BB9"/>
    <w:rsid w:val="459E1E59"/>
    <w:rsid w:val="46C929B2"/>
    <w:rsid w:val="47425BDE"/>
    <w:rsid w:val="47504FFB"/>
    <w:rsid w:val="476F2657"/>
    <w:rsid w:val="479A34DA"/>
    <w:rsid w:val="47AF6127"/>
    <w:rsid w:val="47D159D4"/>
    <w:rsid w:val="48135CA4"/>
    <w:rsid w:val="48A1507C"/>
    <w:rsid w:val="48A83392"/>
    <w:rsid w:val="48D478AE"/>
    <w:rsid w:val="494D658F"/>
    <w:rsid w:val="4A7E65DE"/>
    <w:rsid w:val="4ACE2178"/>
    <w:rsid w:val="4B532B86"/>
    <w:rsid w:val="4B8B0B87"/>
    <w:rsid w:val="4C29623A"/>
    <w:rsid w:val="4C373990"/>
    <w:rsid w:val="4DAE7663"/>
    <w:rsid w:val="4DB60CC1"/>
    <w:rsid w:val="4DD3452E"/>
    <w:rsid w:val="4E1F2971"/>
    <w:rsid w:val="4E710D88"/>
    <w:rsid w:val="4FCE7F44"/>
    <w:rsid w:val="514D0B72"/>
    <w:rsid w:val="529F57F8"/>
    <w:rsid w:val="54FD0D9B"/>
    <w:rsid w:val="55C10A2C"/>
    <w:rsid w:val="55D73B9B"/>
    <w:rsid w:val="56C46E15"/>
    <w:rsid w:val="56EE5C26"/>
    <w:rsid w:val="58A40196"/>
    <w:rsid w:val="59735F4E"/>
    <w:rsid w:val="59D82B1D"/>
    <w:rsid w:val="5A477276"/>
    <w:rsid w:val="5A854D88"/>
    <w:rsid w:val="5BFF57DF"/>
    <w:rsid w:val="5C7731D7"/>
    <w:rsid w:val="5CD42E1F"/>
    <w:rsid w:val="5D350CD2"/>
    <w:rsid w:val="5D42069B"/>
    <w:rsid w:val="5DA304A1"/>
    <w:rsid w:val="5DF7504B"/>
    <w:rsid w:val="5E431D8C"/>
    <w:rsid w:val="61185991"/>
    <w:rsid w:val="621E00A0"/>
    <w:rsid w:val="62BD666C"/>
    <w:rsid w:val="650E6CB9"/>
    <w:rsid w:val="65E92699"/>
    <w:rsid w:val="68F145F5"/>
    <w:rsid w:val="69331D99"/>
    <w:rsid w:val="697C6907"/>
    <w:rsid w:val="6A334C64"/>
    <w:rsid w:val="6A700560"/>
    <w:rsid w:val="6AE46BF3"/>
    <w:rsid w:val="6B6E1554"/>
    <w:rsid w:val="6B9751F2"/>
    <w:rsid w:val="6C56297B"/>
    <w:rsid w:val="6C5E257D"/>
    <w:rsid w:val="6C6F6B7F"/>
    <w:rsid w:val="6C812181"/>
    <w:rsid w:val="6C832BFF"/>
    <w:rsid w:val="6C9E1A1F"/>
    <w:rsid w:val="6CEB6CD9"/>
    <w:rsid w:val="6E073E59"/>
    <w:rsid w:val="6E8B6429"/>
    <w:rsid w:val="6EF174B1"/>
    <w:rsid w:val="6FFF4115"/>
    <w:rsid w:val="71914E7B"/>
    <w:rsid w:val="719B5B12"/>
    <w:rsid w:val="73224081"/>
    <w:rsid w:val="73415358"/>
    <w:rsid w:val="73535070"/>
    <w:rsid w:val="742E6383"/>
    <w:rsid w:val="744A781E"/>
    <w:rsid w:val="75011B53"/>
    <w:rsid w:val="759727BC"/>
    <w:rsid w:val="75F12EBB"/>
    <w:rsid w:val="76B10FCA"/>
    <w:rsid w:val="76B455F0"/>
    <w:rsid w:val="77D8682E"/>
    <w:rsid w:val="77E451D5"/>
    <w:rsid w:val="78322C70"/>
    <w:rsid w:val="7953732F"/>
    <w:rsid w:val="79DC5A87"/>
    <w:rsid w:val="7AE4556E"/>
    <w:rsid w:val="7B595BF6"/>
    <w:rsid w:val="7B6051FB"/>
    <w:rsid w:val="7B972A66"/>
    <w:rsid w:val="7BAF6EB9"/>
    <w:rsid w:val="7C0B57F6"/>
    <w:rsid w:val="7C0E62FA"/>
    <w:rsid w:val="7C1C392F"/>
    <w:rsid w:val="7D7A51BE"/>
    <w:rsid w:val="7E2F5E47"/>
    <w:rsid w:val="7EA034CE"/>
    <w:rsid w:val="DDFF00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heme="minorBidi"/>
      <w:kern w:val="2"/>
      <w:sz w:val="21"/>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paragraph" w:styleId="3">
    <w:name w:val="heading 2"/>
    <w:basedOn w:val="1"/>
    <w:next w:val="1"/>
    <w:unhideWhenUsed/>
    <w:qFormat/>
    <w:uiPriority w:val="9"/>
    <w:pPr>
      <w:keepNext/>
      <w:keepLines/>
      <w:numPr>
        <w:ilvl w:val="1"/>
        <w:numId w:val="1"/>
      </w:numPr>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semiHidden/>
    <w:unhideWhenUsed/>
    <w:qFormat/>
    <w:uiPriority w:val="99"/>
    <w:pPr>
      <w:ind w:firstLine="420" w:firstLineChars="200"/>
    </w:pPr>
  </w:style>
  <w:style w:type="paragraph" w:styleId="6">
    <w:name w:val="annotation text"/>
    <w:basedOn w:val="1"/>
    <w:link w:val="33"/>
    <w:qFormat/>
    <w:uiPriority w:val="0"/>
    <w:pPr>
      <w:jc w:val="left"/>
    </w:pPr>
  </w:style>
  <w:style w:type="paragraph" w:styleId="7">
    <w:name w:val="Body Text Indent"/>
    <w:basedOn w:val="1"/>
    <w:qFormat/>
    <w:uiPriority w:val="99"/>
    <w:pPr>
      <w:ind w:firstLine="830" w:firstLineChars="352"/>
    </w:pPr>
    <w:rPr>
      <w:rFonts w:ascii="仿宋_GB2312" w:hAnsi="Calibri" w:eastAsia="仿宋_GB2312"/>
      <w:kern w:val="0"/>
      <w:sz w:val="32"/>
    </w:rPr>
  </w:style>
  <w:style w:type="paragraph" w:styleId="8">
    <w:name w:val="footer"/>
    <w:basedOn w:val="1"/>
    <w:link w:val="32"/>
    <w:qFormat/>
    <w:uiPriority w:val="0"/>
    <w:pPr>
      <w:tabs>
        <w:tab w:val="center" w:pos="4153"/>
        <w:tab w:val="right" w:pos="8306"/>
      </w:tabs>
      <w:snapToGrid w:val="0"/>
      <w:jc w:val="left"/>
    </w:pPr>
    <w:rPr>
      <w:sz w:val="18"/>
      <w:szCs w:val="18"/>
    </w:rPr>
  </w:style>
  <w:style w:type="paragraph" w:styleId="9">
    <w:name w:val="header"/>
    <w:basedOn w:val="1"/>
    <w:link w:val="31"/>
    <w:qFormat/>
    <w:uiPriority w:val="0"/>
    <w:pPr>
      <w:pBdr>
        <w:bottom w:val="single" w:color="auto" w:sz="6" w:space="1"/>
      </w:pBdr>
      <w:tabs>
        <w:tab w:val="center" w:pos="4153"/>
        <w:tab w:val="right" w:pos="8306"/>
      </w:tabs>
      <w:snapToGrid w:val="0"/>
      <w:jc w:val="center"/>
    </w:pPr>
    <w:rPr>
      <w:sz w:val="18"/>
      <w:szCs w:val="18"/>
    </w:rPr>
  </w:style>
  <w:style w:type="paragraph" w:styleId="10">
    <w:name w:val="Subtitle"/>
    <w:basedOn w:val="1"/>
    <w:next w:val="1"/>
    <w:qFormat/>
    <w:uiPriority w:val="11"/>
    <w:pPr>
      <w:jc w:val="center"/>
    </w:pPr>
    <w:rPr>
      <w:rFonts w:asciiTheme="majorHAnsi" w:hAnsiTheme="majorHAnsi" w:eastAsiaTheme="majorEastAsia"/>
      <w:iCs/>
      <w:smallCaps/>
      <w:spacing w:val="10"/>
      <w:sz w:val="28"/>
      <w:szCs w:val="28"/>
    </w:rPr>
  </w:style>
  <w:style w:type="paragraph" w:styleId="11">
    <w:name w:val="toc 2"/>
    <w:basedOn w:val="1"/>
    <w:next w:val="1"/>
    <w:unhideWhenUsed/>
    <w:qFormat/>
    <w:uiPriority w:val="39"/>
    <w:pPr>
      <w:ind w:left="420" w:leftChars="200"/>
    </w:p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annotation subject"/>
    <w:basedOn w:val="6"/>
    <w:next w:val="6"/>
    <w:link w:val="34"/>
    <w:qFormat/>
    <w:uiPriority w:val="0"/>
    <w:rPr>
      <w:b/>
      <w:bCs/>
    </w:rPr>
  </w:style>
  <w:style w:type="paragraph" w:styleId="14">
    <w:name w:val="Body Text First Indent 2"/>
    <w:basedOn w:val="7"/>
    <w:qFormat/>
    <w:uiPriority w:val="0"/>
    <w:pPr>
      <w:ind w:firstLine="200" w:firstLineChars="200"/>
      <w:jc w:val="left"/>
    </w:pPr>
    <w:rPr>
      <w:rFonts w:ascii="宋体" w:hAnsi="宋体"/>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annotation reference"/>
    <w:basedOn w:val="17"/>
    <w:qFormat/>
    <w:uiPriority w:val="0"/>
    <w:rPr>
      <w:sz w:val="21"/>
      <w:szCs w:val="21"/>
    </w:rPr>
  </w:style>
  <w:style w:type="paragraph" w:customStyle="1" w:styleId="19">
    <w:name w:val="Heading3"/>
    <w:basedOn w:val="1"/>
    <w:next w:val="1"/>
    <w:link w:val="23"/>
    <w:qFormat/>
    <w:uiPriority w:val="0"/>
    <w:pPr>
      <w:keepNext/>
      <w:keepLines/>
      <w:spacing w:before="260" w:after="260" w:line="415" w:lineRule="auto"/>
    </w:pPr>
    <w:rPr>
      <w:rFonts w:cs="Times New Roman"/>
      <w:b/>
      <w:bCs/>
      <w:sz w:val="32"/>
      <w:szCs w:val="32"/>
    </w:rPr>
  </w:style>
  <w:style w:type="character" w:customStyle="1" w:styleId="20">
    <w:name w:val="NormalCharacter"/>
    <w:link w:val="21"/>
    <w:qFormat/>
    <w:uiPriority w:val="0"/>
  </w:style>
  <w:style w:type="paragraph" w:customStyle="1" w:styleId="21">
    <w:name w:val="UserStyle_3"/>
    <w:basedOn w:val="1"/>
    <w:link w:val="20"/>
    <w:qFormat/>
    <w:uiPriority w:val="0"/>
    <w:pPr>
      <w:spacing w:after="160" w:line="240" w:lineRule="exact"/>
      <w:jc w:val="left"/>
    </w:pPr>
  </w:style>
  <w:style w:type="table" w:customStyle="1" w:styleId="22">
    <w:name w:val="TableNormal"/>
    <w:qFormat/>
    <w:uiPriority w:val="0"/>
    <w:tblPr>
      <w:tblCellMar>
        <w:top w:w="0" w:type="dxa"/>
        <w:left w:w="0" w:type="dxa"/>
        <w:bottom w:w="0" w:type="dxa"/>
        <w:right w:w="0" w:type="dxa"/>
      </w:tblCellMar>
    </w:tblPr>
  </w:style>
  <w:style w:type="character" w:customStyle="1" w:styleId="23">
    <w:name w:val="UserStyle_0"/>
    <w:link w:val="19"/>
    <w:qFormat/>
    <w:uiPriority w:val="0"/>
    <w:rPr>
      <w:rFonts w:eastAsia="宋体" w:cs="Times New Roman"/>
      <w:b/>
      <w:bCs/>
      <w:kern w:val="2"/>
      <w:sz w:val="32"/>
      <w:szCs w:val="32"/>
      <w:lang w:val="en-US" w:eastAsia="zh-CN" w:bidi="ar-SA"/>
    </w:rPr>
  </w:style>
  <w:style w:type="character" w:customStyle="1" w:styleId="24">
    <w:name w:val="UserStyle_1"/>
    <w:link w:val="25"/>
    <w:qFormat/>
    <w:uiPriority w:val="0"/>
    <w:rPr>
      <w:rFonts w:eastAsia="宋体"/>
      <w:kern w:val="2"/>
      <w:sz w:val="21"/>
      <w:lang w:val="en-US" w:eastAsia="zh-CN" w:bidi="ar-SA"/>
    </w:rPr>
  </w:style>
  <w:style w:type="paragraph" w:customStyle="1" w:styleId="25">
    <w:name w:val="NormalIndent"/>
    <w:basedOn w:val="1"/>
    <w:link w:val="24"/>
    <w:qFormat/>
    <w:uiPriority w:val="0"/>
    <w:pPr>
      <w:ind w:firstLine="420"/>
    </w:pPr>
  </w:style>
  <w:style w:type="character" w:customStyle="1" w:styleId="26">
    <w:name w:val="UserStyle_2"/>
    <w:link w:val="27"/>
    <w:qFormat/>
    <w:uiPriority w:val="0"/>
    <w:rPr>
      <w:rFonts w:eastAsia="宋体"/>
      <w:kern w:val="2"/>
      <w:sz w:val="21"/>
      <w:lang w:val="en-US" w:eastAsia="zh-CN" w:bidi="ar-SA"/>
    </w:rPr>
  </w:style>
  <w:style w:type="paragraph" w:customStyle="1" w:styleId="27">
    <w:name w:val="179"/>
    <w:basedOn w:val="1"/>
    <w:link w:val="26"/>
    <w:qFormat/>
    <w:uiPriority w:val="0"/>
    <w:pPr>
      <w:ind w:firstLine="420" w:firstLineChars="200"/>
    </w:pPr>
  </w:style>
  <w:style w:type="paragraph" w:customStyle="1" w:styleId="28">
    <w:name w:val="Acetate"/>
    <w:basedOn w:val="1"/>
    <w:semiHidden/>
    <w:qFormat/>
    <w:uiPriority w:val="0"/>
    <w:rPr>
      <w:sz w:val="18"/>
      <w:szCs w:val="18"/>
    </w:rPr>
  </w:style>
  <w:style w:type="paragraph" w:customStyle="1" w:styleId="29">
    <w:name w:val="UserStyle_4"/>
    <w:basedOn w:val="1"/>
    <w:qFormat/>
    <w:uiPriority w:val="0"/>
    <w:rPr>
      <w:rFonts w:ascii="Tahoma" w:hAnsi="Tahoma"/>
      <w:sz w:val="24"/>
    </w:rPr>
  </w:style>
  <w:style w:type="table" w:customStyle="1" w:styleId="30">
    <w:name w:val="TableGrid"/>
    <w:basedOn w:val="22"/>
    <w:qFormat/>
    <w:uiPriority w:val="0"/>
  </w:style>
  <w:style w:type="character" w:customStyle="1" w:styleId="31">
    <w:name w:val="页眉 字符"/>
    <w:basedOn w:val="17"/>
    <w:link w:val="9"/>
    <w:qFormat/>
    <w:uiPriority w:val="0"/>
    <w:rPr>
      <w:kern w:val="2"/>
      <w:sz w:val="18"/>
      <w:szCs w:val="18"/>
    </w:rPr>
  </w:style>
  <w:style w:type="character" w:customStyle="1" w:styleId="32">
    <w:name w:val="页脚 字符"/>
    <w:basedOn w:val="17"/>
    <w:link w:val="8"/>
    <w:qFormat/>
    <w:uiPriority w:val="0"/>
    <w:rPr>
      <w:kern w:val="2"/>
      <w:sz w:val="18"/>
      <w:szCs w:val="18"/>
    </w:rPr>
  </w:style>
  <w:style w:type="character" w:customStyle="1" w:styleId="33">
    <w:name w:val="批注文字 字符"/>
    <w:basedOn w:val="17"/>
    <w:link w:val="6"/>
    <w:qFormat/>
    <w:uiPriority w:val="0"/>
    <w:rPr>
      <w:rFonts w:ascii="Times New Roman" w:hAnsi="Times New Roman" w:cstheme="minorBidi"/>
      <w:kern w:val="2"/>
      <w:sz w:val="21"/>
    </w:rPr>
  </w:style>
  <w:style w:type="character" w:customStyle="1" w:styleId="34">
    <w:name w:val="批注主题 字符"/>
    <w:basedOn w:val="33"/>
    <w:link w:val="13"/>
    <w:qFormat/>
    <w:uiPriority w:val="0"/>
    <w:rPr>
      <w:rFonts w:ascii="Times New Roman" w:hAnsi="Times New Roman" w:cstheme="minorBidi"/>
      <w:b/>
      <w:bCs/>
      <w:kern w:val="2"/>
      <w:sz w:val="21"/>
    </w:rPr>
  </w:style>
  <w:style w:type="paragraph" w:customStyle="1" w:styleId="35">
    <w:name w:val="Char1 Char Char Char"/>
    <w:basedOn w:val="1"/>
    <w:qFormat/>
    <w:uiPriority w:val="0"/>
    <w:pPr>
      <w:widowControl w:val="0"/>
      <w:adjustRightInd w:val="0"/>
      <w:spacing w:line="360" w:lineRule="auto"/>
    </w:pPr>
    <w:rPr>
      <w:rFonts w:ascii="Calibri" w:hAnsi="Calibri" w:cs="Times New Roman"/>
      <w:szCs w:val="24"/>
    </w:rPr>
  </w:style>
  <w:style w:type="character" w:customStyle="1" w:styleId="36">
    <w:name w:val="font01"/>
    <w:basedOn w:val="17"/>
    <w:qFormat/>
    <w:uiPriority w:val="0"/>
    <w:rPr>
      <w:rFonts w:hint="eastAsia" w:ascii="宋体" w:hAnsi="宋体" w:eastAsia="宋体" w:cs="宋体"/>
      <w:color w:val="000000"/>
      <w:sz w:val="22"/>
      <w:szCs w:val="22"/>
      <w:u w:val="none"/>
    </w:rPr>
  </w:style>
  <w:style w:type="paragraph" w:styleId="37">
    <w:name w:val="List Paragraph"/>
    <w:basedOn w:val="1"/>
    <w:qFormat/>
    <w:uiPriority w:val="34"/>
    <w:pPr>
      <w:numPr>
        <w:ilvl w:val="0"/>
        <w:numId w:val="2"/>
      </w:numPr>
      <w:jc w:val="left"/>
    </w:pPr>
    <w:rPr>
      <w:rFonts w:ascii="宋体" w:hAnsi="微软雅黑" w:cs="微软雅黑"/>
    </w:rPr>
  </w:style>
  <w:style w:type="paragraph" w:customStyle="1" w:styleId="38">
    <w:name w:val="方案四级标题"/>
    <w:qFormat/>
    <w:uiPriority w:val="0"/>
    <w:pPr>
      <w:numPr>
        <w:ilvl w:val="3"/>
        <w:numId w:val="3"/>
      </w:numPr>
      <w:spacing w:line="360" w:lineRule="auto"/>
      <w:ind w:left="794" w:hanging="794"/>
      <w:jc w:val="both"/>
      <w:outlineLvl w:val="3"/>
    </w:pPr>
    <w:rPr>
      <w:rFonts w:ascii="Songti SC" w:hAnsi="Songti SC" w:eastAsia="SimSun-ExtB" w:cs="Times New Roman (正文 CS 字体)"/>
      <w:kern w:val="2"/>
      <w:sz w:val="21"/>
      <w:szCs w:val="24"/>
      <w:lang w:val="en-US" w:eastAsia="zh-CN" w:bidi="ar-SA"/>
    </w:rPr>
  </w:style>
  <w:style w:type="paragraph" w:customStyle="1" w:styleId="39">
    <w:name w:val="彩色列表 - 强调文字颜色 11"/>
    <w:basedOn w:val="1"/>
    <w:qFormat/>
    <w:uiPriority w:val="99"/>
    <w:pPr>
      <w:ind w:firstLine="420" w:firstLineChars="200"/>
    </w:pPr>
  </w:style>
  <w:style w:type="paragraph" w:customStyle="1" w:styleId="40">
    <w:name w:val="Table Text"/>
    <w:basedOn w:val="1"/>
    <w:semiHidden/>
    <w:qFormat/>
    <w:uiPriority w:val="0"/>
    <w:rPr>
      <w:rFonts w:ascii="宋体" w:hAnsi="宋体" w:eastAsia="宋体" w:cs="宋体"/>
      <w:sz w:val="20"/>
      <w:szCs w:val="20"/>
      <w:lang w:val="en-US" w:eastAsia="en-US" w:bidi="ar-SA"/>
    </w:rPr>
  </w:style>
  <w:style w:type="table" w:customStyle="1" w:styleId="41">
    <w:name w:val="Table Normal"/>
    <w:semiHidden/>
    <w:unhideWhenUsed/>
    <w:qFormat/>
    <w:uiPriority w:val="0"/>
    <w:tblPr>
      <w:tblCellMar>
        <w:top w:w="0" w:type="dxa"/>
        <w:left w:w="0" w:type="dxa"/>
        <w:bottom w:w="0" w:type="dxa"/>
        <w:right w:w="0" w:type="dxa"/>
      </w:tblCellMar>
    </w:tblPr>
  </w:style>
  <w:style w:type="paragraph" w:customStyle="1" w:styleId="42">
    <w:name w:val="__正文"/>
    <w:qFormat/>
    <w:uiPriority w:val="0"/>
    <w:pPr>
      <w:spacing w:line="360" w:lineRule="auto"/>
      <w:ind w:firstLine="200" w:firstLineChars="200"/>
    </w:pPr>
    <w:rPr>
      <w:rFonts w:ascii="Calibri" w:hAnsi="Calibri" w:eastAsia="宋体" w:cs="Times New Roman"/>
      <w:kern w:val="2"/>
      <w:sz w:val="24"/>
      <w:szCs w:val="21"/>
      <w:lang w:val="en-US" w:eastAsia="zh-CN" w:bidi="ar-SA"/>
    </w:rPr>
  </w:style>
  <w:style w:type="paragraph" w:customStyle="1" w:styleId="43">
    <w:name w:val="M正文"/>
    <w:basedOn w:val="1"/>
    <w:qFormat/>
    <w:uiPriority w:val="0"/>
    <w:pPr>
      <w:spacing w:line="360" w:lineRule="auto"/>
      <w:ind w:firstLine="480" w:firstLineChars="200"/>
    </w:pPr>
    <w:rPr>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1104</Words>
  <Characters>1166</Characters>
  <Lines>154</Lines>
  <Paragraphs>155</Paragraphs>
  <TotalTime>7</TotalTime>
  <ScaleCrop>false</ScaleCrop>
  <LinksUpToDate>false</LinksUpToDate>
  <CharactersWithSpaces>1172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2025-04-23T08:56:00Z</dcterms:created>
  <dc:creator>adminstirator</dc:creator>
  <cp:lastModifiedBy>admin</cp:lastModifiedBy>
  <dcterms:modified xsi:type="dcterms:W3CDTF">2026-06-25T08:52:34Z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50F741AA55BA4643AA01B09922399325_13</vt:lpwstr>
  </property>
  <property fmtid="{D5CDD505-2E9C-101B-9397-08002B2CF9AE}" pid="4" name="KSOTemplateDocerSaveRecord">
    <vt:lpwstr>eyJoZGlkIjoiZjQ5YTM4NjdhNDRkMmUxYmRkZmRjZDY4OTAxMGI1ZjMiLCJ1c2VySWQiOiI0NzI3MzM3ODAifQ==</vt:lpwstr>
  </property>
</Properties>
</file>