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BC2E8">
      <w:pPr>
        <w:spacing w:before="480" w:after="480" w:line="288" w:lineRule="auto"/>
        <w:jc w:val="center"/>
        <w:rPr>
          <w:rFonts w:ascii="Arial" w:hAnsi="Arial" w:eastAsia="等线" w:cs="Arial"/>
          <w:b/>
          <w:sz w:val="28"/>
          <w:szCs w:val="13"/>
        </w:rPr>
      </w:pPr>
      <w:bookmarkStart w:id="17" w:name="_GoBack"/>
      <w:bookmarkEnd w:id="17"/>
      <w:r>
        <w:rPr>
          <w:rFonts w:ascii="Arial" w:hAnsi="Arial" w:eastAsia="等线" w:cs="Arial"/>
          <w:b/>
          <w:sz w:val="28"/>
          <w:szCs w:val="13"/>
        </w:rPr>
        <w:t>湖州市第三人民医院</w:t>
      </w:r>
    </w:p>
    <w:p w14:paraId="31714711">
      <w:pPr>
        <w:spacing w:before="480" w:after="480" w:line="288" w:lineRule="auto"/>
        <w:jc w:val="center"/>
        <w:rPr>
          <w:rFonts w:eastAsia="等线"/>
          <w:sz w:val="15"/>
          <w:szCs w:val="13"/>
        </w:rPr>
      </w:pPr>
      <w:r>
        <w:rPr>
          <w:rFonts w:ascii="Arial" w:hAnsi="Arial" w:eastAsia="等线" w:cs="Arial"/>
          <w:b/>
          <w:sz w:val="28"/>
          <w:szCs w:val="13"/>
        </w:rPr>
        <w:t>耗材供应链系统</w:t>
      </w:r>
      <w:r>
        <w:rPr>
          <w:rFonts w:hint="eastAsia" w:ascii="Arial" w:hAnsi="Arial" w:eastAsia="等线" w:cs="Arial"/>
          <w:b/>
          <w:sz w:val="28"/>
          <w:szCs w:val="13"/>
        </w:rPr>
        <w:t>新增虚拟库房</w:t>
      </w:r>
      <w:r>
        <w:rPr>
          <w:rFonts w:ascii="Arial" w:hAnsi="Arial" w:eastAsia="等线" w:cs="Arial"/>
          <w:b/>
          <w:sz w:val="28"/>
          <w:szCs w:val="13"/>
        </w:rPr>
        <w:t>项目</w:t>
      </w:r>
      <w:r>
        <w:rPr>
          <w:rFonts w:hint="eastAsia" w:ascii="Arial" w:hAnsi="Arial" w:eastAsia="等线" w:cs="Arial"/>
          <w:b/>
          <w:sz w:val="28"/>
          <w:szCs w:val="13"/>
        </w:rPr>
        <w:t>技术需求</w:t>
      </w:r>
    </w:p>
    <w:p w14:paraId="79A7152B">
      <w:pPr>
        <w:spacing w:before="380" w:after="140" w:line="288" w:lineRule="auto"/>
        <w:jc w:val="left"/>
        <w:outlineLvl w:val="0"/>
      </w:pPr>
      <w:bookmarkStart w:id="0" w:name="heading_0"/>
      <w:r>
        <w:rPr>
          <w:rFonts w:ascii="Arial" w:hAnsi="Arial" w:eastAsia="等线" w:cs="Arial"/>
          <w:b/>
          <w:sz w:val="36"/>
        </w:rPr>
        <w:t>一、项目概况</w:t>
      </w:r>
      <w:bookmarkEnd w:id="0"/>
    </w:p>
    <w:p w14:paraId="195BE90F">
      <w:pPr>
        <w:spacing w:before="320" w:after="120" w:line="288" w:lineRule="auto"/>
        <w:jc w:val="left"/>
        <w:outlineLvl w:val="1"/>
      </w:pPr>
      <w:bookmarkStart w:id="1" w:name="heading_1"/>
      <w:r>
        <w:rPr>
          <w:rFonts w:ascii="Arial" w:hAnsi="Arial" w:eastAsia="等线" w:cs="Arial"/>
          <w:b/>
          <w:sz w:val="32"/>
        </w:rPr>
        <w:t>1.1 项目背景</w:t>
      </w:r>
      <w:bookmarkEnd w:id="1"/>
    </w:p>
    <w:p w14:paraId="719CE1D3">
      <w:pPr>
        <w:spacing w:line="360" w:lineRule="auto"/>
      </w:pPr>
      <w:r>
        <w:t>湖州市第三人民医院现有检验试剂分为两类管理模式：</w:t>
      </w:r>
    </w:p>
    <w:p w14:paraId="01B070C3">
      <w:pPr>
        <w:spacing w:line="360" w:lineRule="auto"/>
        <w:ind w:firstLine="480" w:firstLineChars="200"/>
      </w:pPr>
      <w:r>
        <w:t>模式一：常规试剂执行全流程管理模式，按采购量进行结算。</w:t>
      </w:r>
    </w:p>
    <w:p w14:paraId="64960257">
      <w:pPr>
        <w:spacing w:line="360" w:lineRule="auto"/>
        <w:ind w:firstLine="480" w:firstLineChars="200"/>
      </w:pPr>
      <w:r>
        <w:t>模式二：4家供应商供货的检验试剂采用先使用，后按LIS收费数量再行结算的模式。</w:t>
      </w:r>
    </w:p>
    <w:p w14:paraId="4B5B30DF">
      <w:pPr>
        <w:spacing w:line="360" w:lineRule="auto"/>
        <w:ind w:firstLine="480" w:firstLineChars="200"/>
      </w:pPr>
      <w:r>
        <w:t>现有的检验试剂管理模式已经不能满足当前对2类试剂的管理需求。主要是系统入库管理、财务结算、两定平台上报等逻辑无法适配该类耗材，存在账实不符、供应商结算困难、检验成本无法精准核算等问题。</w:t>
      </w:r>
    </w:p>
    <w:p w14:paraId="0434B27C">
      <w:pPr>
        <w:spacing w:before="320" w:after="120" w:line="288" w:lineRule="auto"/>
        <w:jc w:val="left"/>
        <w:outlineLvl w:val="1"/>
      </w:pPr>
      <w:bookmarkStart w:id="2" w:name="heading_2"/>
      <w:r>
        <w:rPr>
          <w:rFonts w:ascii="Arial" w:hAnsi="Arial" w:eastAsia="等线" w:cs="Arial"/>
          <w:b/>
          <w:sz w:val="32"/>
        </w:rPr>
        <w:t>1.2 建设目标</w:t>
      </w:r>
      <w:bookmarkEnd w:id="2"/>
    </w:p>
    <w:p w14:paraId="6F676675">
      <w:pPr>
        <w:spacing w:before="120" w:after="120" w:line="288" w:lineRule="auto"/>
        <w:ind w:firstLine="480" w:firstLineChars="200"/>
        <w:jc w:val="left"/>
        <w:rPr>
          <w:szCs w:val="24"/>
        </w:rPr>
      </w:pPr>
      <w:r>
        <w:rPr>
          <w:rFonts w:ascii="Arial" w:hAnsi="Arial" w:eastAsia="等线" w:cs="Arial"/>
          <w:szCs w:val="24"/>
        </w:rPr>
        <w:t>通过在字典中增加"是否按LIS结算"标识，从而在中心库入库时进行业务需求区分。同时新建一个账簿用于"按LIS结算"的</w:t>
      </w:r>
      <w:r>
        <w:rPr>
          <w:rFonts w:hint="eastAsia" w:ascii="Arial" w:hAnsi="Arial" w:eastAsia="等线" w:cs="Arial"/>
          <w:szCs w:val="24"/>
        </w:rPr>
        <w:t>检验</w:t>
      </w:r>
      <w:r>
        <w:rPr>
          <w:rFonts w:ascii="Arial" w:hAnsi="Arial" w:eastAsia="等线" w:cs="Arial"/>
          <w:szCs w:val="24"/>
        </w:rPr>
        <w:t>试剂进行入库、上传省平台，需要对现有系统进行改造升级，实现"以消定结"，以LIS系统收费为实际采购的零库存管理，降低医院资金占用，减少试剂过期损耗。不计应付、不上报两定平台，实现两套流程互不干扰。</w:t>
      </w:r>
    </w:p>
    <w:p w14:paraId="010E1216">
      <w:pPr>
        <w:spacing w:before="380" w:after="140" w:line="288" w:lineRule="auto"/>
        <w:jc w:val="left"/>
        <w:outlineLvl w:val="0"/>
      </w:pPr>
      <w:bookmarkStart w:id="3" w:name="heading_4"/>
      <w:r>
        <w:rPr>
          <w:rFonts w:ascii="Arial" w:hAnsi="Arial" w:eastAsia="等线" w:cs="Arial"/>
          <w:b/>
          <w:sz w:val="36"/>
        </w:rPr>
        <w:t>二、技术参数要求</w:t>
      </w:r>
      <w:bookmarkEnd w:id="3"/>
    </w:p>
    <w:p w14:paraId="6EC77771">
      <w:pPr>
        <w:spacing w:before="320" w:after="120" w:line="288" w:lineRule="auto"/>
        <w:jc w:val="left"/>
        <w:outlineLvl w:val="1"/>
      </w:pPr>
      <w:bookmarkStart w:id="4" w:name="heading_5"/>
      <w:r>
        <w:rPr>
          <w:rFonts w:ascii="Arial" w:hAnsi="Arial" w:eastAsia="等线" w:cs="Arial"/>
          <w:b/>
          <w:sz w:val="32"/>
        </w:rPr>
        <w:t>2.1 总体要求</w:t>
      </w:r>
      <w:bookmarkEnd w:id="4"/>
    </w:p>
    <w:p w14:paraId="7045F826">
      <w:pPr>
        <w:spacing w:before="120" w:after="120" w:line="288" w:lineRule="auto"/>
        <w:ind w:firstLine="480" w:firstLineChars="200"/>
        <w:jc w:val="left"/>
        <w:rPr>
          <w:rFonts w:ascii="Arial" w:hAnsi="Arial" w:eastAsia="等线" w:cs="Arial"/>
          <w:szCs w:val="24"/>
        </w:rPr>
      </w:pPr>
      <w:r>
        <w:rPr>
          <w:rFonts w:ascii="Arial" w:hAnsi="Arial" w:eastAsia="等线" w:cs="Arial"/>
          <w:szCs w:val="24"/>
        </w:rPr>
        <w:t>本项目为湖州市第三人民医院耗材供应链系统体外诊断试剂改造项目，投标人须提供完整的系统改造方案，确保改造后的系统能够满足医院</w:t>
      </w:r>
      <w:r>
        <w:rPr>
          <w:rFonts w:hint="eastAsia" w:ascii="Arial" w:hAnsi="Arial" w:eastAsia="等线" w:cs="Arial"/>
          <w:szCs w:val="24"/>
        </w:rPr>
        <w:t>检验试剂</w:t>
      </w:r>
      <w:r>
        <w:rPr>
          <w:rFonts w:ascii="Arial" w:hAnsi="Arial" w:eastAsia="等线" w:cs="Arial"/>
          <w:szCs w:val="24"/>
        </w:rPr>
        <w:t>双模式管理需求，实现双账簿、双流程独立管控，无数据混淆。</w:t>
      </w:r>
    </w:p>
    <w:p w14:paraId="6D0AFC1D">
      <w:pPr>
        <w:spacing w:before="320" w:after="120" w:line="288" w:lineRule="auto"/>
        <w:jc w:val="left"/>
        <w:outlineLvl w:val="1"/>
      </w:pPr>
      <w:bookmarkStart w:id="5" w:name="heading_6"/>
      <w:r>
        <w:rPr>
          <w:rFonts w:ascii="Arial" w:hAnsi="Arial" w:eastAsia="等线" w:cs="Arial"/>
          <w:b/>
          <w:sz w:val="32"/>
        </w:rPr>
        <w:t>2.2 功能参数要求</w:t>
      </w:r>
      <w:bookmarkEnd w:id="5"/>
    </w:p>
    <w:p w14:paraId="0DEB6F20">
      <w:pPr>
        <w:spacing w:before="300" w:after="120" w:line="288" w:lineRule="auto"/>
        <w:jc w:val="left"/>
        <w:outlineLvl w:val="2"/>
      </w:pPr>
      <w:bookmarkStart w:id="6" w:name="heading_7"/>
      <w:r>
        <w:rPr>
          <w:rFonts w:ascii="Arial" w:hAnsi="Arial" w:eastAsia="等线" w:cs="Arial"/>
          <w:b/>
          <w:sz w:val="30"/>
        </w:rPr>
        <w:t>2.2.1 账簿一：常规</w:t>
      </w:r>
      <w:r>
        <w:rPr>
          <w:rFonts w:hint="eastAsia" w:ascii="Arial" w:hAnsi="Arial" w:eastAsia="等线" w:cs="Arial"/>
          <w:b/>
          <w:sz w:val="30"/>
        </w:rPr>
        <w:t>检验</w:t>
      </w:r>
      <w:r>
        <w:rPr>
          <w:rFonts w:ascii="Arial" w:hAnsi="Arial" w:eastAsia="等线" w:cs="Arial"/>
          <w:b/>
          <w:sz w:val="30"/>
        </w:rPr>
        <w:t>试剂全流程管理</w:t>
      </w:r>
      <w:bookmarkEnd w:id="6"/>
    </w:p>
    <w:p w14:paraId="086743D3">
      <w:pPr>
        <w:spacing w:before="120" w:after="120" w:line="288" w:lineRule="auto"/>
        <w:ind w:firstLine="480" w:firstLineChars="200"/>
        <w:jc w:val="left"/>
        <w:rPr>
          <w:rFonts w:ascii="Arial" w:hAnsi="Arial" w:eastAsia="等线" w:cs="Arial"/>
          <w:szCs w:val="24"/>
        </w:rPr>
      </w:pPr>
      <w:r>
        <w:rPr>
          <w:rFonts w:ascii="Arial" w:hAnsi="Arial" w:eastAsia="等线" w:cs="Arial"/>
          <w:szCs w:val="24"/>
        </w:rPr>
        <w:t>所有的</w:t>
      </w:r>
      <w:r>
        <w:rPr>
          <w:rFonts w:hint="eastAsia" w:ascii="Arial" w:hAnsi="Arial" w:eastAsia="等线" w:cs="Arial"/>
          <w:szCs w:val="24"/>
        </w:rPr>
        <w:t>检验</w:t>
      </w:r>
      <w:r>
        <w:rPr>
          <w:rFonts w:ascii="Arial" w:hAnsi="Arial" w:eastAsia="等线" w:cs="Arial"/>
          <w:szCs w:val="24"/>
        </w:rPr>
        <w:t>试剂，并对部分耗材设置为"按LIS计费结算"属性。具体功能要求如下：</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11"/>
        <w:gridCol w:w="3048"/>
        <w:gridCol w:w="4583"/>
      </w:tblGrid>
      <w:tr w14:paraId="5D2A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07CC95E7">
            <w:pPr>
              <w:spacing w:before="120" w:after="120" w:line="288" w:lineRule="auto"/>
              <w:jc w:val="left"/>
              <w:rPr>
                <w:szCs w:val="24"/>
              </w:rPr>
            </w:pPr>
            <w:r>
              <w:rPr>
                <w:rFonts w:ascii="Arial" w:hAnsi="Arial" w:eastAsia="等线" w:cs="Arial"/>
                <w:szCs w:val="24"/>
              </w:rPr>
              <w:t>序号</w:t>
            </w:r>
          </w:p>
        </w:tc>
        <w:tc>
          <w:tcPr>
            <w:tcW w:w="1784" w:type="pct"/>
            <w:tcMar>
              <w:top w:w="60" w:type="dxa"/>
              <w:left w:w="120" w:type="dxa"/>
              <w:bottom w:w="30" w:type="dxa"/>
              <w:right w:w="120" w:type="dxa"/>
            </w:tcMar>
          </w:tcPr>
          <w:p w14:paraId="4A8760F0">
            <w:pPr>
              <w:spacing w:before="120" w:after="120" w:line="288" w:lineRule="auto"/>
              <w:jc w:val="left"/>
              <w:rPr>
                <w:szCs w:val="24"/>
              </w:rPr>
            </w:pPr>
            <w:r>
              <w:rPr>
                <w:rFonts w:ascii="Arial" w:hAnsi="Arial" w:eastAsia="等线" w:cs="Arial"/>
                <w:szCs w:val="24"/>
              </w:rPr>
              <w:t>功能模块</w:t>
            </w:r>
          </w:p>
        </w:tc>
        <w:tc>
          <w:tcPr>
            <w:tcW w:w="2682" w:type="pct"/>
            <w:tcMar>
              <w:top w:w="60" w:type="dxa"/>
              <w:left w:w="120" w:type="dxa"/>
              <w:bottom w:w="30" w:type="dxa"/>
              <w:right w:w="120" w:type="dxa"/>
            </w:tcMar>
          </w:tcPr>
          <w:p w14:paraId="035CF886">
            <w:pPr>
              <w:spacing w:before="120" w:after="120" w:line="288" w:lineRule="auto"/>
              <w:jc w:val="left"/>
              <w:rPr>
                <w:szCs w:val="24"/>
              </w:rPr>
            </w:pPr>
            <w:r>
              <w:rPr>
                <w:rFonts w:ascii="Arial" w:hAnsi="Arial" w:eastAsia="等线" w:cs="Arial"/>
                <w:szCs w:val="24"/>
              </w:rPr>
              <w:t>技术参数要求</w:t>
            </w:r>
          </w:p>
        </w:tc>
      </w:tr>
      <w:tr w14:paraId="41B0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70D4775D">
            <w:pPr>
              <w:spacing w:before="120" w:after="120" w:line="288" w:lineRule="auto"/>
              <w:jc w:val="left"/>
              <w:rPr>
                <w:szCs w:val="24"/>
              </w:rPr>
            </w:pPr>
            <w:r>
              <w:rPr>
                <w:rFonts w:ascii="Arial" w:hAnsi="Arial" w:eastAsia="等线" w:cs="Arial"/>
                <w:szCs w:val="24"/>
              </w:rPr>
              <w:t>1</w:t>
            </w:r>
          </w:p>
        </w:tc>
        <w:tc>
          <w:tcPr>
            <w:tcW w:w="1784" w:type="pct"/>
            <w:tcMar>
              <w:top w:w="60" w:type="dxa"/>
              <w:left w:w="120" w:type="dxa"/>
              <w:bottom w:w="30" w:type="dxa"/>
              <w:right w:w="120" w:type="dxa"/>
            </w:tcMar>
          </w:tcPr>
          <w:p w14:paraId="6E27A6F4">
            <w:pPr>
              <w:spacing w:before="120" w:after="120" w:line="288" w:lineRule="auto"/>
              <w:jc w:val="left"/>
              <w:rPr>
                <w:szCs w:val="24"/>
              </w:rPr>
            </w:pPr>
            <w:r>
              <w:rPr>
                <w:rFonts w:ascii="Arial" w:hAnsi="Arial" w:eastAsia="等线" w:cs="Arial"/>
                <w:szCs w:val="24"/>
              </w:rPr>
              <w:t>耗材基础字典管理</w:t>
            </w:r>
          </w:p>
        </w:tc>
        <w:tc>
          <w:tcPr>
            <w:tcW w:w="2682" w:type="pct"/>
            <w:tcMar>
              <w:top w:w="60" w:type="dxa"/>
              <w:left w:w="120" w:type="dxa"/>
              <w:bottom w:w="30" w:type="dxa"/>
              <w:right w:w="120" w:type="dxa"/>
            </w:tcMar>
          </w:tcPr>
          <w:p w14:paraId="3834CB7E">
            <w:pPr>
              <w:spacing w:before="120" w:after="120" w:line="288" w:lineRule="auto"/>
              <w:jc w:val="left"/>
              <w:rPr>
                <w:szCs w:val="24"/>
              </w:rPr>
            </w:pPr>
            <w:r>
              <w:rPr>
                <w:rFonts w:ascii="Arial" w:hAnsi="Arial" w:eastAsia="等线" w:cs="Arial"/>
                <w:szCs w:val="24"/>
              </w:rPr>
              <w:t>在耗材基础字典中增加"是否按LIS计费结算"标识字段，支持对体外诊断试剂进行属性设置</w:t>
            </w:r>
          </w:p>
        </w:tc>
      </w:tr>
      <w:tr w14:paraId="099C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37DF9447">
            <w:pPr>
              <w:spacing w:before="120" w:after="120" w:line="288" w:lineRule="auto"/>
              <w:jc w:val="left"/>
              <w:rPr>
                <w:szCs w:val="24"/>
              </w:rPr>
            </w:pPr>
            <w:r>
              <w:rPr>
                <w:rFonts w:ascii="Arial" w:hAnsi="Arial" w:eastAsia="等线" w:cs="Arial"/>
                <w:szCs w:val="24"/>
              </w:rPr>
              <w:t>2</w:t>
            </w:r>
          </w:p>
        </w:tc>
        <w:tc>
          <w:tcPr>
            <w:tcW w:w="1784" w:type="pct"/>
            <w:tcMar>
              <w:top w:w="60" w:type="dxa"/>
              <w:left w:w="120" w:type="dxa"/>
              <w:bottom w:w="30" w:type="dxa"/>
              <w:right w:w="120" w:type="dxa"/>
            </w:tcMar>
          </w:tcPr>
          <w:p w14:paraId="12D10E7A">
            <w:pPr>
              <w:spacing w:before="120" w:after="120" w:line="288" w:lineRule="auto"/>
              <w:jc w:val="left"/>
              <w:rPr>
                <w:szCs w:val="24"/>
              </w:rPr>
            </w:pPr>
            <w:r>
              <w:rPr>
                <w:rFonts w:ascii="Arial" w:hAnsi="Arial" w:eastAsia="等线" w:cs="Arial"/>
                <w:szCs w:val="24"/>
              </w:rPr>
              <w:t>检验科二级库需求</w:t>
            </w:r>
          </w:p>
        </w:tc>
        <w:tc>
          <w:tcPr>
            <w:tcW w:w="2682" w:type="pct"/>
            <w:tcMar>
              <w:top w:w="60" w:type="dxa"/>
              <w:left w:w="120" w:type="dxa"/>
              <w:bottom w:w="30" w:type="dxa"/>
              <w:right w:w="120" w:type="dxa"/>
            </w:tcMar>
          </w:tcPr>
          <w:p w14:paraId="25E6B3BF">
            <w:pPr>
              <w:spacing w:before="120" w:after="120" w:line="288" w:lineRule="auto"/>
              <w:jc w:val="left"/>
              <w:rPr>
                <w:szCs w:val="24"/>
              </w:rPr>
            </w:pPr>
            <w:r>
              <w:rPr>
                <w:rFonts w:ascii="Arial" w:hAnsi="Arial" w:eastAsia="等线" w:cs="Arial"/>
                <w:szCs w:val="24"/>
              </w:rPr>
              <w:t>支持检验科二级库管理，满足科室库存管理需求</w:t>
            </w:r>
          </w:p>
        </w:tc>
      </w:tr>
      <w:tr w14:paraId="3365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4D04C41E">
            <w:pPr>
              <w:spacing w:before="120" w:after="120" w:line="288" w:lineRule="auto"/>
              <w:jc w:val="left"/>
              <w:rPr>
                <w:szCs w:val="24"/>
              </w:rPr>
            </w:pPr>
            <w:r>
              <w:rPr>
                <w:rFonts w:ascii="Arial" w:hAnsi="Arial" w:eastAsia="等线" w:cs="Arial"/>
                <w:szCs w:val="24"/>
              </w:rPr>
              <w:t>3</w:t>
            </w:r>
          </w:p>
        </w:tc>
        <w:tc>
          <w:tcPr>
            <w:tcW w:w="1784" w:type="pct"/>
            <w:tcMar>
              <w:top w:w="60" w:type="dxa"/>
              <w:left w:w="120" w:type="dxa"/>
              <w:bottom w:w="30" w:type="dxa"/>
              <w:right w:w="120" w:type="dxa"/>
            </w:tcMar>
          </w:tcPr>
          <w:p w14:paraId="2C1E405F">
            <w:pPr>
              <w:spacing w:before="120" w:after="120" w:line="288" w:lineRule="auto"/>
              <w:jc w:val="left"/>
              <w:rPr>
                <w:szCs w:val="24"/>
              </w:rPr>
            </w:pPr>
            <w:r>
              <w:rPr>
                <w:rFonts w:ascii="Arial" w:hAnsi="Arial" w:eastAsia="等线" w:cs="Arial"/>
                <w:szCs w:val="24"/>
              </w:rPr>
              <w:t>采购需求审核订单发送</w:t>
            </w:r>
          </w:p>
        </w:tc>
        <w:tc>
          <w:tcPr>
            <w:tcW w:w="2682" w:type="pct"/>
            <w:tcMar>
              <w:top w:w="60" w:type="dxa"/>
              <w:left w:w="120" w:type="dxa"/>
              <w:bottom w:w="30" w:type="dxa"/>
              <w:right w:w="120" w:type="dxa"/>
            </w:tcMar>
          </w:tcPr>
          <w:p w14:paraId="2161D369">
            <w:pPr>
              <w:spacing w:before="120" w:after="120" w:line="288" w:lineRule="auto"/>
              <w:jc w:val="left"/>
              <w:rPr>
                <w:szCs w:val="24"/>
              </w:rPr>
            </w:pPr>
            <w:r>
              <w:rPr>
                <w:rFonts w:ascii="Arial" w:hAnsi="Arial" w:eastAsia="等线" w:cs="Arial"/>
                <w:szCs w:val="24"/>
              </w:rPr>
              <w:t>支持采购需求审核流程，审核通过后可向供应商发送订单</w:t>
            </w:r>
          </w:p>
        </w:tc>
      </w:tr>
      <w:tr w14:paraId="713C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6D502EFA">
            <w:pPr>
              <w:spacing w:before="120" w:after="120" w:line="288" w:lineRule="auto"/>
              <w:jc w:val="left"/>
              <w:rPr>
                <w:szCs w:val="24"/>
              </w:rPr>
            </w:pPr>
            <w:r>
              <w:rPr>
                <w:rFonts w:ascii="Arial" w:hAnsi="Arial" w:eastAsia="等线" w:cs="Arial"/>
                <w:szCs w:val="24"/>
              </w:rPr>
              <w:t>4</w:t>
            </w:r>
          </w:p>
        </w:tc>
        <w:tc>
          <w:tcPr>
            <w:tcW w:w="1784" w:type="pct"/>
            <w:tcMar>
              <w:top w:w="60" w:type="dxa"/>
              <w:left w:w="120" w:type="dxa"/>
              <w:bottom w:w="30" w:type="dxa"/>
              <w:right w:w="120" w:type="dxa"/>
            </w:tcMar>
          </w:tcPr>
          <w:p w14:paraId="1ABE4908">
            <w:pPr>
              <w:spacing w:before="120" w:after="120" w:line="288" w:lineRule="auto"/>
              <w:jc w:val="left"/>
              <w:rPr>
                <w:szCs w:val="24"/>
              </w:rPr>
            </w:pPr>
            <w:r>
              <w:rPr>
                <w:rFonts w:ascii="Arial" w:hAnsi="Arial" w:eastAsia="等线" w:cs="Arial"/>
                <w:szCs w:val="24"/>
              </w:rPr>
              <w:t>供应商云平台配送</w:t>
            </w:r>
          </w:p>
        </w:tc>
        <w:tc>
          <w:tcPr>
            <w:tcW w:w="2682" w:type="pct"/>
            <w:tcMar>
              <w:top w:w="60" w:type="dxa"/>
              <w:left w:w="120" w:type="dxa"/>
              <w:bottom w:w="30" w:type="dxa"/>
              <w:right w:w="120" w:type="dxa"/>
            </w:tcMar>
          </w:tcPr>
          <w:p w14:paraId="1ABD190E">
            <w:pPr>
              <w:spacing w:before="120" w:after="120" w:line="288" w:lineRule="auto"/>
              <w:jc w:val="left"/>
              <w:rPr>
                <w:szCs w:val="24"/>
              </w:rPr>
            </w:pPr>
            <w:r>
              <w:rPr>
                <w:rFonts w:ascii="Arial" w:hAnsi="Arial" w:eastAsia="等线" w:cs="Arial"/>
                <w:szCs w:val="24"/>
              </w:rPr>
              <w:t>支持与供应商云平台对接，实现配送信息同步</w:t>
            </w:r>
          </w:p>
        </w:tc>
      </w:tr>
      <w:tr w14:paraId="4CCF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052F2C33">
            <w:pPr>
              <w:spacing w:before="120" w:after="120" w:line="288" w:lineRule="auto"/>
              <w:jc w:val="left"/>
              <w:rPr>
                <w:szCs w:val="24"/>
              </w:rPr>
            </w:pPr>
            <w:r>
              <w:rPr>
                <w:rFonts w:ascii="Arial" w:hAnsi="Arial" w:eastAsia="等线" w:cs="Arial"/>
                <w:szCs w:val="24"/>
              </w:rPr>
              <w:t>5</w:t>
            </w:r>
          </w:p>
        </w:tc>
        <w:tc>
          <w:tcPr>
            <w:tcW w:w="1784" w:type="pct"/>
            <w:tcMar>
              <w:top w:w="60" w:type="dxa"/>
              <w:left w:w="120" w:type="dxa"/>
              <w:bottom w:w="30" w:type="dxa"/>
              <w:right w:w="120" w:type="dxa"/>
            </w:tcMar>
          </w:tcPr>
          <w:p w14:paraId="63DDA8F7">
            <w:pPr>
              <w:spacing w:before="120" w:after="120" w:line="288" w:lineRule="auto"/>
              <w:jc w:val="left"/>
              <w:rPr>
                <w:szCs w:val="24"/>
              </w:rPr>
            </w:pPr>
            <w:r>
              <w:rPr>
                <w:rFonts w:ascii="Arial" w:hAnsi="Arial" w:eastAsia="等线" w:cs="Arial"/>
                <w:szCs w:val="24"/>
              </w:rPr>
              <w:t>中心库入库管理</w:t>
            </w:r>
          </w:p>
        </w:tc>
        <w:tc>
          <w:tcPr>
            <w:tcW w:w="2682" w:type="pct"/>
            <w:tcMar>
              <w:top w:w="60" w:type="dxa"/>
              <w:left w:w="120" w:type="dxa"/>
              <w:bottom w:w="30" w:type="dxa"/>
              <w:right w:w="120" w:type="dxa"/>
            </w:tcMar>
          </w:tcPr>
          <w:p w14:paraId="7D7C03F9">
            <w:pPr>
              <w:spacing w:before="120" w:after="120" w:line="288" w:lineRule="auto"/>
              <w:jc w:val="left"/>
              <w:rPr>
                <w:szCs w:val="24"/>
              </w:rPr>
            </w:pPr>
            <w:r>
              <w:rPr>
                <w:rFonts w:ascii="Arial" w:hAnsi="Arial" w:eastAsia="等线" w:cs="Arial"/>
                <w:szCs w:val="24"/>
              </w:rPr>
              <w:t>在入库单中增加"是否按LIS计费结算"标识，支持按标识区分入库流程</w:t>
            </w:r>
          </w:p>
        </w:tc>
      </w:tr>
      <w:tr w14:paraId="4107C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413CE4E8">
            <w:pPr>
              <w:spacing w:before="120" w:after="120" w:line="288" w:lineRule="auto"/>
              <w:jc w:val="left"/>
              <w:rPr>
                <w:szCs w:val="24"/>
              </w:rPr>
            </w:pPr>
            <w:r>
              <w:rPr>
                <w:rFonts w:ascii="Arial" w:hAnsi="Arial" w:eastAsia="等线" w:cs="Arial"/>
                <w:szCs w:val="24"/>
              </w:rPr>
              <w:t>6</w:t>
            </w:r>
          </w:p>
        </w:tc>
        <w:tc>
          <w:tcPr>
            <w:tcW w:w="1784" w:type="pct"/>
            <w:tcMar>
              <w:top w:w="60" w:type="dxa"/>
              <w:left w:w="120" w:type="dxa"/>
              <w:bottom w:w="30" w:type="dxa"/>
              <w:right w:w="120" w:type="dxa"/>
            </w:tcMar>
          </w:tcPr>
          <w:p w14:paraId="01D9B75B">
            <w:pPr>
              <w:spacing w:before="120" w:after="120" w:line="288" w:lineRule="auto"/>
              <w:jc w:val="left"/>
              <w:rPr>
                <w:szCs w:val="24"/>
              </w:rPr>
            </w:pPr>
            <w:r>
              <w:rPr>
                <w:rFonts w:ascii="Arial" w:hAnsi="Arial" w:eastAsia="等线" w:cs="Arial"/>
                <w:szCs w:val="24"/>
              </w:rPr>
              <w:t>两定平台同步</w:t>
            </w:r>
          </w:p>
        </w:tc>
        <w:tc>
          <w:tcPr>
            <w:tcW w:w="2682" w:type="pct"/>
            <w:tcMar>
              <w:top w:w="60" w:type="dxa"/>
              <w:left w:w="120" w:type="dxa"/>
              <w:bottom w:w="30" w:type="dxa"/>
              <w:right w:w="120" w:type="dxa"/>
            </w:tcMar>
          </w:tcPr>
          <w:p w14:paraId="75D8C48A">
            <w:pPr>
              <w:spacing w:before="120" w:after="120" w:line="288" w:lineRule="auto"/>
              <w:jc w:val="left"/>
              <w:rPr>
                <w:szCs w:val="24"/>
              </w:rPr>
            </w:pPr>
            <w:r>
              <w:rPr>
                <w:rFonts w:ascii="Arial" w:hAnsi="Arial" w:eastAsia="等线" w:cs="Arial"/>
                <w:szCs w:val="24"/>
              </w:rPr>
              <w:t>标记为按LIS计费结算模式的耗材不同步两定平台，常规试剂正常同步</w:t>
            </w:r>
          </w:p>
        </w:tc>
      </w:tr>
      <w:tr w14:paraId="219E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442C1C53">
            <w:pPr>
              <w:spacing w:before="120" w:after="120" w:line="288" w:lineRule="auto"/>
              <w:jc w:val="left"/>
              <w:rPr>
                <w:szCs w:val="24"/>
              </w:rPr>
            </w:pPr>
            <w:r>
              <w:rPr>
                <w:rFonts w:ascii="Arial" w:hAnsi="Arial" w:eastAsia="等线" w:cs="Arial"/>
                <w:szCs w:val="24"/>
              </w:rPr>
              <w:t>7</w:t>
            </w:r>
          </w:p>
        </w:tc>
        <w:tc>
          <w:tcPr>
            <w:tcW w:w="1784" w:type="pct"/>
            <w:tcMar>
              <w:top w:w="60" w:type="dxa"/>
              <w:left w:w="120" w:type="dxa"/>
              <w:bottom w:w="30" w:type="dxa"/>
              <w:right w:w="120" w:type="dxa"/>
            </w:tcMar>
          </w:tcPr>
          <w:p w14:paraId="5788B28E">
            <w:pPr>
              <w:spacing w:before="120" w:after="120" w:line="288" w:lineRule="auto"/>
              <w:jc w:val="left"/>
              <w:rPr>
                <w:szCs w:val="24"/>
              </w:rPr>
            </w:pPr>
            <w:r>
              <w:rPr>
                <w:rFonts w:ascii="Arial" w:hAnsi="Arial" w:eastAsia="等线" w:cs="Arial"/>
                <w:szCs w:val="24"/>
              </w:rPr>
              <w:t>发票与应付管理</w:t>
            </w:r>
          </w:p>
        </w:tc>
        <w:tc>
          <w:tcPr>
            <w:tcW w:w="2682" w:type="pct"/>
            <w:tcMar>
              <w:top w:w="60" w:type="dxa"/>
              <w:left w:w="120" w:type="dxa"/>
              <w:bottom w:w="30" w:type="dxa"/>
              <w:right w:w="120" w:type="dxa"/>
            </w:tcMar>
          </w:tcPr>
          <w:p w14:paraId="53E63DC2">
            <w:pPr>
              <w:spacing w:before="120" w:after="120" w:line="288" w:lineRule="auto"/>
              <w:jc w:val="left"/>
              <w:rPr>
                <w:szCs w:val="24"/>
              </w:rPr>
            </w:pPr>
            <w:r>
              <w:rPr>
                <w:rFonts w:ascii="Arial" w:hAnsi="Arial" w:eastAsia="等线" w:cs="Arial"/>
                <w:szCs w:val="24"/>
              </w:rPr>
              <w:t>标记为按LIS计费结算模式的耗材不同步发票与应付，常规试剂正常同步</w:t>
            </w:r>
          </w:p>
        </w:tc>
      </w:tr>
      <w:tr w14:paraId="13A3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07C640ED">
            <w:pPr>
              <w:spacing w:before="120" w:after="120" w:line="288" w:lineRule="auto"/>
              <w:jc w:val="left"/>
              <w:rPr>
                <w:szCs w:val="24"/>
              </w:rPr>
            </w:pPr>
            <w:r>
              <w:rPr>
                <w:rFonts w:ascii="Arial" w:hAnsi="Arial" w:eastAsia="等线" w:cs="Arial"/>
                <w:szCs w:val="24"/>
              </w:rPr>
              <w:t>8</w:t>
            </w:r>
          </w:p>
        </w:tc>
        <w:tc>
          <w:tcPr>
            <w:tcW w:w="1784" w:type="pct"/>
            <w:tcMar>
              <w:top w:w="60" w:type="dxa"/>
              <w:left w:w="120" w:type="dxa"/>
              <w:bottom w:w="30" w:type="dxa"/>
              <w:right w:w="120" w:type="dxa"/>
            </w:tcMar>
          </w:tcPr>
          <w:p w14:paraId="09F22689">
            <w:pPr>
              <w:spacing w:before="120" w:after="120" w:line="288" w:lineRule="auto"/>
              <w:jc w:val="left"/>
              <w:rPr>
                <w:szCs w:val="24"/>
              </w:rPr>
            </w:pPr>
            <w:r>
              <w:rPr>
                <w:rFonts w:ascii="Arial" w:hAnsi="Arial" w:eastAsia="等线" w:cs="Arial"/>
                <w:szCs w:val="24"/>
              </w:rPr>
              <w:t>二级库出库管理</w:t>
            </w:r>
          </w:p>
        </w:tc>
        <w:tc>
          <w:tcPr>
            <w:tcW w:w="2682" w:type="pct"/>
            <w:tcMar>
              <w:top w:w="60" w:type="dxa"/>
              <w:left w:w="120" w:type="dxa"/>
              <w:bottom w:w="30" w:type="dxa"/>
              <w:right w:w="120" w:type="dxa"/>
            </w:tcMar>
          </w:tcPr>
          <w:p w14:paraId="6ED2E86B">
            <w:pPr>
              <w:spacing w:before="120" w:after="120" w:line="288" w:lineRule="auto"/>
              <w:jc w:val="left"/>
              <w:rPr>
                <w:szCs w:val="24"/>
              </w:rPr>
            </w:pPr>
            <w:r>
              <w:rPr>
                <w:rFonts w:ascii="Arial" w:hAnsi="Arial" w:eastAsia="等线" w:cs="Arial"/>
                <w:szCs w:val="24"/>
              </w:rPr>
              <w:t>支持出库到检验科二级库，二级库接收库存</w:t>
            </w:r>
          </w:p>
        </w:tc>
      </w:tr>
    </w:tbl>
    <w:p w14:paraId="1786CBA0">
      <w:pPr>
        <w:spacing w:before="300" w:after="120" w:line="288" w:lineRule="auto"/>
        <w:jc w:val="left"/>
        <w:outlineLvl w:val="2"/>
      </w:pPr>
      <w:bookmarkStart w:id="7" w:name="heading_8"/>
      <w:r>
        <w:rPr>
          <w:rFonts w:ascii="Arial" w:hAnsi="Arial" w:eastAsia="等线" w:cs="Arial"/>
          <w:b/>
          <w:sz w:val="30"/>
        </w:rPr>
        <w:t>2.2.2 账簿二：按LIS结算</w:t>
      </w:r>
      <w:r>
        <w:rPr>
          <w:rFonts w:hint="eastAsia" w:ascii="Arial" w:hAnsi="Arial" w:eastAsia="等线" w:cs="Arial"/>
          <w:b/>
          <w:sz w:val="30"/>
        </w:rPr>
        <w:t>检验</w:t>
      </w:r>
      <w:r>
        <w:rPr>
          <w:rFonts w:ascii="Arial" w:hAnsi="Arial" w:eastAsia="等线" w:cs="Arial"/>
          <w:b/>
          <w:sz w:val="30"/>
        </w:rPr>
        <w:t>试剂管理</w:t>
      </w:r>
      <w:bookmarkEnd w:id="7"/>
    </w:p>
    <w:p w14:paraId="47BFEA23">
      <w:pPr>
        <w:spacing w:before="120" w:after="120" w:line="288" w:lineRule="auto"/>
        <w:ind w:firstLine="480" w:firstLineChars="200"/>
        <w:jc w:val="left"/>
        <w:rPr>
          <w:szCs w:val="24"/>
        </w:rPr>
      </w:pPr>
      <w:r>
        <w:rPr>
          <w:rFonts w:ascii="Arial" w:hAnsi="Arial" w:eastAsia="等线" w:cs="Arial"/>
          <w:szCs w:val="24"/>
        </w:rPr>
        <w:t>全部为按LIS结算的</w:t>
      </w:r>
      <w:r>
        <w:rPr>
          <w:rFonts w:hint="eastAsia" w:ascii="Arial" w:hAnsi="Arial" w:eastAsia="等线" w:cs="Arial"/>
          <w:szCs w:val="24"/>
        </w:rPr>
        <w:t>检验</w:t>
      </w:r>
      <w:r>
        <w:rPr>
          <w:rFonts w:ascii="Arial" w:hAnsi="Arial" w:eastAsia="等线" w:cs="Arial"/>
          <w:szCs w:val="24"/>
        </w:rPr>
        <w:t>试剂，新建一个账簿二用于"按LIS计费结算"的耗材账务处理。不需要采购管理，不需要二级库管理。具体功能要求如下：</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11"/>
        <w:gridCol w:w="3049"/>
        <w:gridCol w:w="4582"/>
      </w:tblGrid>
      <w:tr w14:paraId="11C2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6B1AA602">
            <w:pPr>
              <w:spacing w:before="120" w:after="120" w:line="288" w:lineRule="auto"/>
              <w:jc w:val="left"/>
              <w:rPr>
                <w:szCs w:val="24"/>
              </w:rPr>
            </w:pPr>
            <w:r>
              <w:rPr>
                <w:rFonts w:ascii="Arial" w:hAnsi="Arial" w:eastAsia="等线" w:cs="Arial"/>
                <w:szCs w:val="24"/>
              </w:rPr>
              <w:t>序号</w:t>
            </w:r>
          </w:p>
        </w:tc>
        <w:tc>
          <w:tcPr>
            <w:tcW w:w="1784" w:type="pct"/>
            <w:tcMar>
              <w:top w:w="60" w:type="dxa"/>
              <w:left w:w="120" w:type="dxa"/>
              <w:bottom w:w="30" w:type="dxa"/>
              <w:right w:w="120" w:type="dxa"/>
            </w:tcMar>
          </w:tcPr>
          <w:p w14:paraId="663F9C16">
            <w:pPr>
              <w:spacing w:before="120" w:after="120" w:line="288" w:lineRule="auto"/>
              <w:jc w:val="left"/>
              <w:rPr>
                <w:szCs w:val="24"/>
              </w:rPr>
            </w:pPr>
            <w:r>
              <w:rPr>
                <w:rFonts w:ascii="Arial" w:hAnsi="Arial" w:eastAsia="等线" w:cs="Arial"/>
                <w:szCs w:val="24"/>
              </w:rPr>
              <w:t>功能模块</w:t>
            </w:r>
          </w:p>
        </w:tc>
        <w:tc>
          <w:tcPr>
            <w:tcW w:w="2681" w:type="pct"/>
            <w:tcMar>
              <w:top w:w="60" w:type="dxa"/>
              <w:left w:w="120" w:type="dxa"/>
              <w:bottom w:w="30" w:type="dxa"/>
              <w:right w:w="120" w:type="dxa"/>
            </w:tcMar>
          </w:tcPr>
          <w:p w14:paraId="3C933249">
            <w:pPr>
              <w:spacing w:before="120" w:after="120" w:line="288" w:lineRule="auto"/>
              <w:jc w:val="left"/>
              <w:rPr>
                <w:szCs w:val="24"/>
              </w:rPr>
            </w:pPr>
            <w:r>
              <w:rPr>
                <w:rFonts w:ascii="Arial" w:hAnsi="Arial" w:eastAsia="等线" w:cs="Arial"/>
                <w:szCs w:val="24"/>
              </w:rPr>
              <w:t>技术参数要求</w:t>
            </w:r>
          </w:p>
        </w:tc>
      </w:tr>
      <w:tr w14:paraId="1862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2411C516">
            <w:pPr>
              <w:spacing w:before="120" w:after="120" w:line="288" w:lineRule="auto"/>
              <w:jc w:val="left"/>
              <w:rPr>
                <w:szCs w:val="24"/>
              </w:rPr>
            </w:pPr>
            <w:r>
              <w:rPr>
                <w:rFonts w:ascii="Arial" w:hAnsi="Arial" w:eastAsia="等线" w:cs="Arial"/>
                <w:szCs w:val="24"/>
              </w:rPr>
              <w:t>1</w:t>
            </w:r>
          </w:p>
        </w:tc>
        <w:tc>
          <w:tcPr>
            <w:tcW w:w="1784" w:type="pct"/>
            <w:tcMar>
              <w:top w:w="60" w:type="dxa"/>
              <w:left w:w="120" w:type="dxa"/>
              <w:bottom w:w="30" w:type="dxa"/>
              <w:right w:w="120" w:type="dxa"/>
            </w:tcMar>
          </w:tcPr>
          <w:p w14:paraId="53F5153E">
            <w:pPr>
              <w:spacing w:before="120" w:after="120" w:line="288" w:lineRule="auto"/>
              <w:jc w:val="left"/>
              <w:rPr>
                <w:szCs w:val="24"/>
              </w:rPr>
            </w:pPr>
            <w:r>
              <w:rPr>
                <w:rFonts w:ascii="Arial" w:hAnsi="Arial" w:eastAsia="等线" w:cs="Arial"/>
                <w:szCs w:val="24"/>
              </w:rPr>
              <w:t>入库单模板生成</w:t>
            </w:r>
          </w:p>
        </w:tc>
        <w:tc>
          <w:tcPr>
            <w:tcW w:w="2681" w:type="pct"/>
            <w:tcMar>
              <w:top w:w="60" w:type="dxa"/>
              <w:left w:w="120" w:type="dxa"/>
              <w:bottom w:w="30" w:type="dxa"/>
              <w:right w:w="120" w:type="dxa"/>
            </w:tcMar>
          </w:tcPr>
          <w:p w14:paraId="5FEF4E2C">
            <w:pPr>
              <w:spacing w:before="120" w:after="120" w:line="288" w:lineRule="auto"/>
              <w:jc w:val="left"/>
              <w:rPr>
                <w:szCs w:val="24"/>
              </w:rPr>
            </w:pPr>
            <w:r>
              <w:rPr>
                <w:rFonts w:ascii="Arial" w:hAnsi="Arial" w:eastAsia="等线" w:cs="Arial"/>
                <w:szCs w:val="24"/>
              </w:rPr>
              <w:t>按供应商生成一份待导入的EXCEL入库单模板</w:t>
            </w:r>
          </w:p>
        </w:tc>
      </w:tr>
      <w:tr w14:paraId="72B2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3B31624B">
            <w:pPr>
              <w:spacing w:before="120" w:after="120" w:line="288" w:lineRule="auto"/>
              <w:jc w:val="left"/>
              <w:rPr>
                <w:szCs w:val="24"/>
              </w:rPr>
            </w:pPr>
            <w:r>
              <w:rPr>
                <w:rFonts w:ascii="Arial" w:hAnsi="Arial" w:eastAsia="等线" w:cs="Arial"/>
                <w:szCs w:val="24"/>
              </w:rPr>
              <w:t>2</w:t>
            </w:r>
          </w:p>
        </w:tc>
        <w:tc>
          <w:tcPr>
            <w:tcW w:w="1784" w:type="pct"/>
            <w:tcMar>
              <w:top w:w="60" w:type="dxa"/>
              <w:left w:w="120" w:type="dxa"/>
              <w:bottom w:w="30" w:type="dxa"/>
              <w:right w:w="120" w:type="dxa"/>
            </w:tcMar>
          </w:tcPr>
          <w:p w14:paraId="74546775">
            <w:pPr>
              <w:spacing w:before="120" w:after="120" w:line="288" w:lineRule="auto"/>
              <w:jc w:val="left"/>
              <w:rPr>
                <w:szCs w:val="24"/>
              </w:rPr>
            </w:pPr>
            <w:r>
              <w:rPr>
                <w:rFonts w:ascii="Arial" w:hAnsi="Arial" w:eastAsia="等线" w:cs="Arial"/>
                <w:szCs w:val="24"/>
              </w:rPr>
              <w:t>LIS结算清单对接</w:t>
            </w:r>
          </w:p>
        </w:tc>
        <w:tc>
          <w:tcPr>
            <w:tcW w:w="2681" w:type="pct"/>
            <w:tcMar>
              <w:top w:w="60" w:type="dxa"/>
              <w:left w:w="120" w:type="dxa"/>
              <w:bottom w:w="30" w:type="dxa"/>
              <w:right w:w="120" w:type="dxa"/>
            </w:tcMar>
          </w:tcPr>
          <w:p w14:paraId="4118E465">
            <w:pPr>
              <w:spacing w:before="120" w:after="120" w:line="288" w:lineRule="auto"/>
              <w:jc w:val="left"/>
              <w:rPr>
                <w:szCs w:val="24"/>
              </w:rPr>
            </w:pPr>
            <w:r>
              <w:rPr>
                <w:rFonts w:ascii="Arial" w:hAnsi="Arial" w:eastAsia="等线" w:cs="Arial"/>
                <w:szCs w:val="24"/>
              </w:rPr>
              <w:t>支持检验科根据LIS系统本月收费明细生成需结算的体外诊断试剂汇总清单，并导出给相应供应商</w:t>
            </w:r>
          </w:p>
        </w:tc>
      </w:tr>
      <w:tr w14:paraId="1140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250E7624">
            <w:pPr>
              <w:spacing w:before="120" w:after="120" w:line="288" w:lineRule="auto"/>
              <w:jc w:val="left"/>
              <w:rPr>
                <w:szCs w:val="24"/>
              </w:rPr>
            </w:pPr>
            <w:r>
              <w:rPr>
                <w:rFonts w:ascii="Arial" w:hAnsi="Arial" w:eastAsia="等线" w:cs="Arial"/>
                <w:szCs w:val="24"/>
              </w:rPr>
              <w:t>3</w:t>
            </w:r>
          </w:p>
        </w:tc>
        <w:tc>
          <w:tcPr>
            <w:tcW w:w="1784" w:type="pct"/>
            <w:tcMar>
              <w:top w:w="60" w:type="dxa"/>
              <w:left w:w="120" w:type="dxa"/>
              <w:bottom w:w="30" w:type="dxa"/>
              <w:right w:w="120" w:type="dxa"/>
            </w:tcMar>
          </w:tcPr>
          <w:p w14:paraId="2D7C1B72">
            <w:pPr>
              <w:spacing w:before="120" w:after="120" w:line="288" w:lineRule="auto"/>
              <w:jc w:val="left"/>
              <w:rPr>
                <w:szCs w:val="24"/>
              </w:rPr>
            </w:pPr>
            <w:r>
              <w:rPr>
                <w:rFonts w:ascii="Arial" w:hAnsi="Arial" w:eastAsia="等线" w:cs="Arial"/>
                <w:szCs w:val="24"/>
              </w:rPr>
              <w:t>入库单批量导入</w:t>
            </w:r>
          </w:p>
        </w:tc>
        <w:tc>
          <w:tcPr>
            <w:tcW w:w="2681" w:type="pct"/>
            <w:tcMar>
              <w:top w:w="60" w:type="dxa"/>
              <w:left w:w="120" w:type="dxa"/>
              <w:bottom w:w="30" w:type="dxa"/>
              <w:right w:w="120" w:type="dxa"/>
            </w:tcMar>
          </w:tcPr>
          <w:p w14:paraId="235AEE15">
            <w:pPr>
              <w:spacing w:before="120" w:after="120" w:line="288" w:lineRule="auto"/>
              <w:jc w:val="left"/>
              <w:rPr>
                <w:szCs w:val="24"/>
              </w:rPr>
            </w:pPr>
            <w:r>
              <w:rPr>
                <w:rFonts w:ascii="Arial" w:hAnsi="Arial" w:eastAsia="等线" w:cs="Arial"/>
                <w:szCs w:val="24"/>
              </w:rPr>
              <w:t>支持供应商在EXCEL入库单模板维护好需要结算的入库单明细，表格经过审批确认后提供给耗材中心库通过入库导入的方式进行批量入库</w:t>
            </w:r>
          </w:p>
        </w:tc>
      </w:tr>
      <w:tr w14:paraId="0D10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237476FA">
            <w:pPr>
              <w:spacing w:before="120" w:after="120" w:line="288" w:lineRule="auto"/>
              <w:jc w:val="left"/>
              <w:rPr>
                <w:szCs w:val="24"/>
              </w:rPr>
            </w:pPr>
            <w:r>
              <w:rPr>
                <w:rFonts w:ascii="Arial" w:hAnsi="Arial" w:eastAsia="等线" w:cs="Arial"/>
                <w:szCs w:val="24"/>
              </w:rPr>
              <w:t>4</w:t>
            </w:r>
          </w:p>
        </w:tc>
        <w:tc>
          <w:tcPr>
            <w:tcW w:w="1784" w:type="pct"/>
            <w:tcMar>
              <w:top w:w="60" w:type="dxa"/>
              <w:left w:w="120" w:type="dxa"/>
              <w:bottom w:w="30" w:type="dxa"/>
              <w:right w:w="120" w:type="dxa"/>
            </w:tcMar>
          </w:tcPr>
          <w:p w14:paraId="0466B374">
            <w:pPr>
              <w:spacing w:before="120" w:after="120" w:line="288" w:lineRule="auto"/>
              <w:jc w:val="left"/>
              <w:rPr>
                <w:szCs w:val="24"/>
              </w:rPr>
            </w:pPr>
            <w:r>
              <w:rPr>
                <w:rFonts w:ascii="Arial" w:hAnsi="Arial" w:eastAsia="等线" w:cs="Arial"/>
                <w:szCs w:val="24"/>
              </w:rPr>
              <w:t>两定平台同步</w:t>
            </w:r>
          </w:p>
        </w:tc>
        <w:tc>
          <w:tcPr>
            <w:tcW w:w="2681" w:type="pct"/>
            <w:tcMar>
              <w:top w:w="60" w:type="dxa"/>
              <w:left w:w="120" w:type="dxa"/>
              <w:bottom w:w="30" w:type="dxa"/>
              <w:right w:w="120" w:type="dxa"/>
            </w:tcMar>
          </w:tcPr>
          <w:p w14:paraId="36F3A2B6">
            <w:pPr>
              <w:spacing w:before="120" w:after="120" w:line="288" w:lineRule="auto"/>
              <w:jc w:val="left"/>
              <w:rPr>
                <w:szCs w:val="24"/>
              </w:rPr>
            </w:pPr>
            <w:r>
              <w:rPr>
                <w:rFonts w:ascii="Arial" w:hAnsi="Arial" w:eastAsia="等线" w:cs="Arial"/>
                <w:szCs w:val="24"/>
              </w:rPr>
              <w:t>中心库入库同步两定平台</w:t>
            </w:r>
          </w:p>
        </w:tc>
      </w:tr>
      <w:tr w14:paraId="756B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56996972">
            <w:pPr>
              <w:spacing w:before="120" w:after="120" w:line="288" w:lineRule="auto"/>
              <w:jc w:val="left"/>
              <w:rPr>
                <w:szCs w:val="24"/>
              </w:rPr>
            </w:pPr>
            <w:r>
              <w:rPr>
                <w:rFonts w:ascii="Arial" w:hAnsi="Arial" w:eastAsia="等线" w:cs="Arial"/>
                <w:szCs w:val="24"/>
              </w:rPr>
              <w:t>5</w:t>
            </w:r>
          </w:p>
        </w:tc>
        <w:tc>
          <w:tcPr>
            <w:tcW w:w="1784" w:type="pct"/>
            <w:tcMar>
              <w:top w:w="60" w:type="dxa"/>
              <w:left w:w="120" w:type="dxa"/>
              <w:bottom w:w="30" w:type="dxa"/>
              <w:right w:w="120" w:type="dxa"/>
            </w:tcMar>
          </w:tcPr>
          <w:p w14:paraId="136CBA10">
            <w:pPr>
              <w:spacing w:before="120" w:after="120" w:line="288" w:lineRule="auto"/>
              <w:jc w:val="left"/>
              <w:rPr>
                <w:szCs w:val="24"/>
              </w:rPr>
            </w:pPr>
            <w:r>
              <w:rPr>
                <w:rFonts w:ascii="Arial" w:hAnsi="Arial" w:eastAsia="等线" w:cs="Arial"/>
                <w:szCs w:val="24"/>
              </w:rPr>
              <w:t>发票与应付账款</w:t>
            </w:r>
          </w:p>
        </w:tc>
        <w:tc>
          <w:tcPr>
            <w:tcW w:w="2681" w:type="pct"/>
            <w:tcMar>
              <w:top w:w="60" w:type="dxa"/>
              <w:left w:w="120" w:type="dxa"/>
              <w:bottom w:w="30" w:type="dxa"/>
              <w:right w:w="120" w:type="dxa"/>
            </w:tcMar>
          </w:tcPr>
          <w:p w14:paraId="0006DF6E">
            <w:pPr>
              <w:spacing w:before="120" w:after="120" w:line="288" w:lineRule="auto"/>
              <w:jc w:val="left"/>
              <w:rPr>
                <w:szCs w:val="24"/>
              </w:rPr>
            </w:pPr>
            <w:r>
              <w:rPr>
                <w:rFonts w:ascii="Arial" w:hAnsi="Arial" w:eastAsia="等线" w:cs="Arial"/>
                <w:szCs w:val="24"/>
              </w:rPr>
              <w:t>支持发票管理与应付账款管理</w:t>
            </w:r>
          </w:p>
        </w:tc>
      </w:tr>
      <w:tr w14:paraId="0C99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7FB5CA9C">
            <w:pPr>
              <w:spacing w:before="120" w:after="120" w:line="288" w:lineRule="auto"/>
              <w:jc w:val="left"/>
              <w:rPr>
                <w:szCs w:val="24"/>
              </w:rPr>
            </w:pPr>
            <w:r>
              <w:rPr>
                <w:rFonts w:ascii="Arial" w:hAnsi="Arial" w:eastAsia="等线" w:cs="Arial"/>
                <w:szCs w:val="24"/>
              </w:rPr>
              <w:t>6</w:t>
            </w:r>
          </w:p>
        </w:tc>
        <w:tc>
          <w:tcPr>
            <w:tcW w:w="1784" w:type="pct"/>
            <w:tcMar>
              <w:top w:w="60" w:type="dxa"/>
              <w:left w:w="120" w:type="dxa"/>
              <w:bottom w:w="30" w:type="dxa"/>
              <w:right w:w="120" w:type="dxa"/>
            </w:tcMar>
          </w:tcPr>
          <w:p w14:paraId="05A204B3">
            <w:pPr>
              <w:spacing w:before="120" w:after="120" w:line="288" w:lineRule="auto"/>
              <w:jc w:val="left"/>
              <w:rPr>
                <w:szCs w:val="24"/>
              </w:rPr>
            </w:pPr>
            <w:r>
              <w:rPr>
                <w:rFonts w:ascii="Arial" w:hAnsi="Arial" w:eastAsia="等线" w:cs="Arial"/>
                <w:szCs w:val="24"/>
              </w:rPr>
              <w:t>自动出库核算</w:t>
            </w:r>
          </w:p>
        </w:tc>
        <w:tc>
          <w:tcPr>
            <w:tcW w:w="2681" w:type="pct"/>
            <w:tcMar>
              <w:top w:w="60" w:type="dxa"/>
              <w:left w:w="120" w:type="dxa"/>
              <w:bottom w:w="30" w:type="dxa"/>
              <w:right w:w="120" w:type="dxa"/>
            </w:tcMar>
          </w:tcPr>
          <w:p w14:paraId="3E7C61B1">
            <w:pPr>
              <w:spacing w:before="120" w:after="120" w:line="288" w:lineRule="auto"/>
              <w:jc w:val="left"/>
              <w:rPr>
                <w:szCs w:val="24"/>
              </w:rPr>
            </w:pPr>
            <w:r>
              <w:rPr>
                <w:rFonts w:ascii="Arial" w:hAnsi="Arial" w:eastAsia="等线" w:cs="Arial"/>
                <w:szCs w:val="24"/>
              </w:rPr>
              <w:t>入库后直接出库给检验科进行成本核算，不生成二级库入库</w:t>
            </w:r>
          </w:p>
        </w:tc>
      </w:tr>
    </w:tbl>
    <w:p w14:paraId="741EFCCC">
      <w:pPr>
        <w:spacing w:before="320" w:after="120" w:line="288" w:lineRule="auto"/>
        <w:jc w:val="left"/>
        <w:outlineLvl w:val="1"/>
      </w:pPr>
      <w:bookmarkStart w:id="8" w:name="heading_9"/>
      <w:r>
        <w:rPr>
          <w:rFonts w:ascii="Arial" w:hAnsi="Arial" w:eastAsia="等线" w:cs="Arial"/>
          <w:b/>
          <w:sz w:val="32"/>
        </w:rPr>
        <w:t>2.3 系统集成要求</w:t>
      </w:r>
      <w:bookmarkEnd w:id="8"/>
    </w:p>
    <w:p w14:paraId="4EAF6388">
      <w:pPr>
        <w:numPr>
          <w:ilvl w:val="0"/>
          <w:numId w:val="1"/>
        </w:numPr>
        <w:spacing w:before="120" w:after="120" w:line="288" w:lineRule="auto"/>
        <w:jc w:val="left"/>
        <w:rPr>
          <w:szCs w:val="24"/>
        </w:rPr>
      </w:pPr>
      <w:r>
        <w:rPr>
          <w:rFonts w:ascii="Arial" w:hAnsi="Arial" w:eastAsia="等线" w:cs="Arial"/>
          <w:szCs w:val="24"/>
        </w:rPr>
        <w:t>改造系统须与医院现有耗材供应链系统无缝对接，确保数据一致性和业务连续性。</w:t>
      </w:r>
    </w:p>
    <w:p w14:paraId="598541B4">
      <w:pPr>
        <w:numPr>
          <w:ilvl w:val="0"/>
          <w:numId w:val="2"/>
        </w:numPr>
        <w:spacing w:before="120" w:after="120" w:line="288" w:lineRule="auto"/>
        <w:jc w:val="left"/>
        <w:rPr>
          <w:szCs w:val="24"/>
        </w:rPr>
      </w:pPr>
      <w:r>
        <w:rPr>
          <w:rFonts w:ascii="Arial" w:hAnsi="Arial" w:eastAsia="等线" w:cs="Arial"/>
          <w:szCs w:val="24"/>
        </w:rPr>
        <w:t>须与医院LIS系统实现数据对接，支持按LIS收费数据进行试剂结算。</w:t>
      </w:r>
    </w:p>
    <w:p w14:paraId="6696F1B6">
      <w:pPr>
        <w:numPr>
          <w:ilvl w:val="0"/>
          <w:numId w:val="3"/>
        </w:numPr>
        <w:spacing w:before="120" w:after="120" w:line="288" w:lineRule="auto"/>
        <w:jc w:val="left"/>
        <w:rPr>
          <w:szCs w:val="24"/>
        </w:rPr>
      </w:pPr>
      <w:r>
        <w:rPr>
          <w:rFonts w:ascii="Arial" w:hAnsi="Arial" w:eastAsia="等线" w:cs="Arial"/>
          <w:szCs w:val="24"/>
        </w:rPr>
        <w:t>须支持与浙江省"两定"平台对接，按要求完成数据上报。</w:t>
      </w:r>
    </w:p>
    <w:p w14:paraId="54C68F5A">
      <w:pPr>
        <w:numPr>
          <w:ilvl w:val="0"/>
          <w:numId w:val="4"/>
        </w:numPr>
        <w:spacing w:before="120" w:after="120" w:line="288" w:lineRule="auto"/>
        <w:jc w:val="left"/>
        <w:rPr>
          <w:szCs w:val="24"/>
        </w:rPr>
      </w:pPr>
      <w:r>
        <w:rPr>
          <w:rFonts w:ascii="Arial" w:hAnsi="Arial" w:eastAsia="等线" w:cs="Arial"/>
          <w:szCs w:val="24"/>
        </w:rPr>
        <w:t>系统改造不得影响现有系统的正常运行，须保证平滑过渡。</w:t>
      </w:r>
    </w:p>
    <w:p w14:paraId="439BEF32">
      <w:pPr>
        <w:spacing w:before="380" w:after="140" w:line="288" w:lineRule="auto"/>
        <w:jc w:val="left"/>
        <w:outlineLvl w:val="0"/>
      </w:pPr>
      <w:bookmarkStart w:id="9" w:name="heading_11"/>
      <w:r>
        <w:rPr>
          <w:rFonts w:ascii="Arial" w:hAnsi="Arial" w:eastAsia="等线" w:cs="Arial"/>
          <w:b/>
          <w:sz w:val="36"/>
        </w:rPr>
        <w:t>三、商务要求</w:t>
      </w:r>
      <w:bookmarkEnd w:id="9"/>
    </w:p>
    <w:p w14:paraId="7204D3D7">
      <w:pPr>
        <w:spacing w:before="320" w:after="120" w:line="288" w:lineRule="auto"/>
        <w:jc w:val="left"/>
        <w:outlineLvl w:val="1"/>
      </w:pPr>
      <w:bookmarkStart w:id="10" w:name="heading_13"/>
      <w:r>
        <w:rPr>
          <w:rFonts w:ascii="Arial" w:hAnsi="Arial" w:eastAsia="等线" w:cs="Arial"/>
          <w:b/>
          <w:sz w:val="32"/>
        </w:rPr>
        <w:t>3.</w:t>
      </w:r>
      <w:r>
        <w:rPr>
          <w:rFonts w:hint="eastAsia" w:ascii="Arial" w:hAnsi="Arial" w:eastAsia="等线" w:cs="Arial"/>
          <w:b/>
          <w:sz w:val="32"/>
        </w:rPr>
        <w:t>1</w:t>
      </w:r>
      <w:r>
        <w:rPr>
          <w:rFonts w:ascii="Arial" w:hAnsi="Arial" w:eastAsia="等线" w:cs="Arial"/>
          <w:b/>
          <w:sz w:val="32"/>
        </w:rPr>
        <w:t>实施周期要求</w:t>
      </w:r>
      <w:bookmarkEnd w:id="10"/>
    </w:p>
    <w:p w14:paraId="70F54631">
      <w:pPr>
        <w:spacing w:before="120" w:after="120" w:line="288" w:lineRule="auto"/>
        <w:ind w:firstLine="500"/>
        <w:jc w:val="left"/>
        <w:rPr>
          <w:rFonts w:eastAsia="等线"/>
          <w:szCs w:val="24"/>
        </w:rPr>
      </w:pPr>
      <w:r>
        <w:rPr>
          <w:rFonts w:ascii="Arial" w:hAnsi="Arial" w:eastAsia="等线" w:cs="Arial"/>
          <w:szCs w:val="24"/>
        </w:rPr>
        <w:t>项目总实施周期为</w:t>
      </w:r>
      <w:r>
        <w:rPr>
          <w:rFonts w:hint="eastAsia" w:ascii="Arial" w:hAnsi="Arial" w:eastAsia="等线" w:cs="Arial"/>
          <w:szCs w:val="24"/>
        </w:rPr>
        <w:t>2</w:t>
      </w:r>
      <w:r>
        <w:rPr>
          <w:rFonts w:ascii="Arial" w:hAnsi="Arial" w:eastAsia="等线" w:cs="Arial"/>
          <w:b/>
          <w:szCs w:val="24"/>
        </w:rPr>
        <w:t>个月</w:t>
      </w:r>
      <w:r>
        <w:rPr>
          <w:rFonts w:hint="eastAsia" w:ascii="Arial" w:hAnsi="Arial" w:eastAsia="等线" w:cs="Arial"/>
          <w:b/>
          <w:szCs w:val="24"/>
        </w:rPr>
        <w:t>。</w:t>
      </w:r>
    </w:p>
    <w:p w14:paraId="70B0B031">
      <w:pPr>
        <w:spacing w:before="320" w:after="120" w:line="288" w:lineRule="auto"/>
        <w:jc w:val="left"/>
        <w:outlineLvl w:val="1"/>
      </w:pPr>
      <w:bookmarkStart w:id="11" w:name="heading_14"/>
      <w:r>
        <w:rPr>
          <w:rFonts w:ascii="Arial" w:hAnsi="Arial" w:eastAsia="等线" w:cs="Arial"/>
          <w:b/>
          <w:sz w:val="32"/>
        </w:rPr>
        <w:t>3.</w:t>
      </w:r>
      <w:r>
        <w:rPr>
          <w:rFonts w:hint="eastAsia" w:ascii="Arial" w:hAnsi="Arial" w:eastAsia="等线" w:cs="Arial"/>
          <w:b/>
          <w:sz w:val="32"/>
        </w:rPr>
        <w:t>2</w:t>
      </w:r>
      <w:r>
        <w:rPr>
          <w:rFonts w:ascii="Arial" w:hAnsi="Arial" w:eastAsia="等线" w:cs="Arial"/>
          <w:b/>
          <w:sz w:val="32"/>
        </w:rPr>
        <w:t xml:space="preserve"> 项目验收标准</w:t>
      </w:r>
      <w:bookmarkEnd w:id="11"/>
    </w:p>
    <w:p w14:paraId="17A2B5EF">
      <w:pPr>
        <w:numPr>
          <w:ilvl w:val="0"/>
          <w:numId w:val="5"/>
        </w:numPr>
        <w:spacing w:before="120" w:after="120" w:line="288" w:lineRule="auto"/>
        <w:jc w:val="left"/>
        <w:rPr>
          <w:szCs w:val="24"/>
        </w:rPr>
      </w:pPr>
      <w:r>
        <w:rPr>
          <w:rFonts w:ascii="Arial" w:hAnsi="Arial" w:eastAsia="等线" w:cs="Arial"/>
          <w:szCs w:val="24"/>
        </w:rPr>
        <w:t>功能正常运行，双账簿、双流程独立管控无数据混淆；</w:t>
      </w:r>
    </w:p>
    <w:p w14:paraId="6FE50F91">
      <w:pPr>
        <w:numPr>
          <w:ilvl w:val="0"/>
          <w:numId w:val="5"/>
        </w:numPr>
        <w:spacing w:before="120" w:after="120" w:line="288" w:lineRule="auto"/>
        <w:jc w:val="left"/>
        <w:rPr>
          <w:szCs w:val="24"/>
        </w:rPr>
      </w:pPr>
      <w:r>
        <w:rPr>
          <w:rFonts w:ascii="Arial" w:hAnsi="Arial" w:eastAsia="等线" w:cs="Arial"/>
          <w:szCs w:val="24"/>
        </w:rPr>
        <w:t>LIS标记试剂支持批量导入入库、自动出库，不生成二级库库存、产生应付账款；</w:t>
      </w:r>
    </w:p>
    <w:p w14:paraId="6F5A3E12">
      <w:pPr>
        <w:numPr>
          <w:ilvl w:val="0"/>
          <w:numId w:val="5"/>
        </w:numPr>
        <w:spacing w:before="120" w:after="120" w:line="288" w:lineRule="auto"/>
        <w:jc w:val="left"/>
        <w:rPr>
          <w:szCs w:val="24"/>
        </w:rPr>
      </w:pPr>
      <w:r>
        <w:rPr>
          <w:rFonts w:ascii="Arial" w:hAnsi="Arial" w:eastAsia="等线" w:cs="Arial"/>
          <w:szCs w:val="24"/>
        </w:rPr>
        <w:t>所有操作手册、培训记录、业务报表完整交付，各科室操作人员独立完成全流程业务操作。</w:t>
      </w:r>
    </w:p>
    <w:p w14:paraId="7A87DE37">
      <w:pPr>
        <w:spacing w:before="320" w:after="120" w:line="288" w:lineRule="auto"/>
        <w:jc w:val="left"/>
        <w:outlineLvl w:val="1"/>
      </w:pPr>
      <w:bookmarkStart w:id="12" w:name="heading_15"/>
      <w:r>
        <w:rPr>
          <w:rFonts w:ascii="Arial" w:hAnsi="Arial" w:eastAsia="等线" w:cs="Arial"/>
          <w:b/>
          <w:sz w:val="32"/>
        </w:rPr>
        <w:t>3.</w:t>
      </w:r>
      <w:r>
        <w:rPr>
          <w:rFonts w:hint="eastAsia" w:ascii="Arial" w:hAnsi="Arial" w:eastAsia="等线" w:cs="Arial"/>
          <w:b/>
          <w:sz w:val="32"/>
        </w:rPr>
        <w:t>3</w:t>
      </w:r>
      <w:r>
        <w:rPr>
          <w:rFonts w:ascii="Arial" w:hAnsi="Arial" w:eastAsia="等线" w:cs="Arial"/>
          <w:b/>
          <w:sz w:val="32"/>
        </w:rPr>
        <w:t>服务要求</w:t>
      </w:r>
      <w:bookmarkEnd w:id="12"/>
    </w:p>
    <w:p w14:paraId="2B2E60BB">
      <w:pPr>
        <w:spacing w:before="300" w:after="120" w:line="288" w:lineRule="auto"/>
        <w:jc w:val="left"/>
        <w:outlineLvl w:val="2"/>
      </w:pPr>
      <w:bookmarkStart w:id="13" w:name="heading_16"/>
      <w:r>
        <w:rPr>
          <w:rFonts w:ascii="Arial" w:hAnsi="Arial" w:eastAsia="等线" w:cs="Arial"/>
          <w:b/>
          <w:sz w:val="30"/>
        </w:rPr>
        <w:t>3.</w:t>
      </w:r>
      <w:r>
        <w:rPr>
          <w:rFonts w:hint="eastAsia" w:ascii="Arial" w:hAnsi="Arial" w:eastAsia="等线" w:cs="Arial"/>
          <w:b/>
          <w:sz w:val="30"/>
        </w:rPr>
        <w:t>3</w:t>
      </w:r>
      <w:r>
        <w:rPr>
          <w:rFonts w:ascii="Arial" w:hAnsi="Arial" w:eastAsia="等线" w:cs="Arial"/>
          <w:b/>
          <w:sz w:val="30"/>
        </w:rPr>
        <w:t>.1 热线电话支持</w:t>
      </w:r>
      <w:bookmarkEnd w:id="13"/>
    </w:p>
    <w:p w14:paraId="2A0A5A72">
      <w:pPr>
        <w:spacing w:before="120" w:after="120" w:line="288" w:lineRule="auto"/>
        <w:ind w:firstLine="480" w:firstLineChars="200"/>
        <w:jc w:val="left"/>
        <w:rPr>
          <w:szCs w:val="24"/>
        </w:rPr>
      </w:pPr>
      <w:r>
        <w:rPr>
          <w:rFonts w:ascii="Arial" w:hAnsi="Arial" w:eastAsia="等线" w:cs="Arial"/>
          <w:szCs w:val="24"/>
        </w:rPr>
        <w:t>用户系统出现问题时，客户可以从支持服务中心得到及时有效的电话支持。支持时间为7*24小时。故障受理后，维护人员将在规定时间内做出响应，先通过电话指导进行常规检查，判断故障范围，根据故障难度进行处理。针对一般故障的故障，可以通过电话在线帮助客户解决问题，在线解决不了的，公司第一时间调度工程师现场服务。</w:t>
      </w:r>
    </w:p>
    <w:p w14:paraId="46D7CC1F">
      <w:pPr>
        <w:spacing w:before="300" w:after="120" w:line="288" w:lineRule="auto"/>
        <w:jc w:val="left"/>
        <w:outlineLvl w:val="2"/>
      </w:pPr>
      <w:bookmarkStart w:id="14" w:name="heading_17"/>
      <w:r>
        <w:rPr>
          <w:rFonts w:ascii="Arial" w:hAnsi="Arial" w:eastAsia="等线" w:cs="Arial"/>
          <w:b/>
          <w:sz w:val="30"/>
        </w:rPr>
        <w:t>3.</w:t>
      </w:r>
      <w:r>
        <w:rPr>
          <w:rFonts w:hint="eastAsia" w:ascii="Arial" w:hAnsi="Arial" w:eastAsia="等线" w:cs="Arial"/>
          <w:b/>
          <w:sz w:val="30"/>
        </w:rPr>
        <w:t>3</w:t>
      </w:r>
      <w:r>
        <w:rPr>
          <w:rFonts w:ascii="Arial" w:hAnsi="Arial" w:eastAsia="等线" w:cs="Arial"/>
          <w:b/>
          <w:sz w:val="30"/>
        </w:rPr>
        <w:t>.2 远程网络支持</w:t>
      </w:r>
      <w:bookmarkEnd w:id="14"/>
    </w:p>
    <w:p w14:paraId="0EDE9511">
      <w:pPr>
        <w:spacing w:before="120" w:after="120" w:line="288" w:lineRule="auto"/>
        <w:ind w:firstLine="480" w:firstLineChars="200"/>
        <w:jc w:val="left"/>
        <w:rPr>
          <w:rFonts w:ascii="Arial" w:hAnsi="Arial" w:eastAsia="等线" w:cs="Arial"/>
          <w:szCs w:val="24"/>
        </w:rPr>
      </w:pPr>
      <w:r>
        <w:rPr>
          <w:rFonts w:ascii="Arial" w:hAnsi="Arial" w:eastAsia="等线" w:cs="Arial"/>
          <w:szCs w:val="24"/>
        </w:rPr>
        <w:t>供应商须提供远程网络支持服务。根据客户的需要，客户还可选用支持服务中心的远程互联网服务，支持服务中心的工程师将通过网络技术，远程操作，检查问题，解决部分小型故障等问题，以便快速地解决客户的问题。</w:t>
      </w:r>
    </w:p>
    <w:p w14:paraId="21FC7D8E">
      <w:pPr>
        <w:spacing w:before="300" w:after="120" w:line="288" w:lineRule="auto"/>
        <w:jc w:val="left"/>
        <w:outlineLvl w:val="2"/>
      </w:pPr>
      <w:bookmarkStart w:id="15" w:name="heading_18"/>
      <w:r>
        <w:rPr>
          <w:rFonts w:ascii="Arial" w:hAnsi="Arial" w:eastAsia="等线" w:cs="Arial"/>
          <w:b/>
          <w:sz w:val="30"/>
        </w:rPr>
        <w:t>3.</w:t>
      </w:r>
      <w:r>
        <w:rPr>
          <w:rFonts w:hint="eastAsia" w:ascii="Arial" w:hAnsi="Arial" w:eastAsia="等线" w:cs="Arial"/>
          <w:b/>
          <w:sz w:val="30"/>
        </w:rPr>
        <w:t>3</w:t>
      </w:r>
      <w:r>
        <w:rPr>
          <w:rFonts w:ascii="Arial" w:hAnsi="Arial" w:eastAsia="等线" w:cs="Arial"/>
          <w:b/>
          <w:sz w:val="30"/>
        </w:rPr>
        <w:t>.3 现场响应</w:t>
      </w:r>
      <w:bookmarkEnd w:id="15"/>
    </w:p>
    <w:p w14:paraId="0851AF51">
      <w:pPr>
        <w:spacing w:before="120" w:after="120" w:line="288" w:lineRule="auto"/>
        <w:ind w:firstLine="480" w:firstLineChars="200"/>
        <w:jc w:val="left"/>
        <w:rPr>
          <w:rFonts w:ascii="Arial" w:hAnsi="Arial" w:eastAsia="等线" w:cs="Arial"/>
          <w:szCs w:val="24"/>
        </w:rPr>
      </w:pPr>
      <w:r>
        <w:rPr>
          <w:rFonts w:ascii="Arial" w:hAnsi="Arial" w:eastAsia="等线" w:cs="Arial"/>
          <w:szCs w:val="24"/>
        </w:rPr>
        <w:t>如果问题不能通过电话、远程网络的方式解决，支持服务中心会派出经验丰富的工程师到现场为用户解决问题。服务人员将在8小时内可到达现场，7*24小时内解决客户问题。</w:t>
      </w:r>
    </w:p>
    <w:p w14:paraId="266094B7">
      <w:pPr>
        <w:spacing w:before="300" w:after="120" w:line="288" w:lineRule="auto"/>
        <w:jc w:val="left"/>
        <w:outlineLvl w:val="2"/>
      </w:pPr>
      <w:bookmarkStart w:id="16" w:name="heading_19"/>
      <w:r>
        <w:rPr>
          <w:rFonts w:ascii="Arial" w:hAnsi="Arial" w:eastAsia="等线" w:cs="Arial"/>
          <w:b/>
          <w:sz w:val="30"/>
        </w:rPr>
        <w:t>3.</w:t>
      </w:r>
      <w:r>
        <w:rPr>
          <w:rFonts w:hint="eastAsia" w:ascii="Arial" w:hAnsi="Arial" w:eastAsia="等线" w:cs="Arial"/>
          <w:b/>
          <w:sz w:val="30"/>
        </w:rPr>
        <w:t>3</w:t>
      </w:r>
      <w:r>
        <w:rPr>
          <w:rFonts w:ascii="Arial" w:hAnsi="Arial" w:eastAsia="等线" w:cs="Arial"/>
          <w:b/>
          <w:sz w:val="30"/>
        </w:rPr>
        <w:t>.4 质保期</w:t>
      </w:r>
      <w:bookmarkEnd w:id="16"/>
    </w:p>
    <w:p w14:paraId="30712804">
      <w:pPr>
        <w:spacing w:before="120" w:after="120" w:line="288" w:lineRule="auto"/>
        <w:ind w:firstLine="480" w:firstLineChars="200"/>
        <w:jc w:val="left"/>
        <w:rPr>
          <w:szCs w:val="24"/>
        </w:rPr>
      </w:pPr>
      <w:r>
        <w:rPr>
          <w:rFonts w:ascii="Arial" w:hAnsi="Arial" w:eastAsia="等线" w:cs="Arial"/>
          <w:szCs w:val="24"/>
        </w:rPr>
        <w:t>本项目质保期不少于1年，自项目终验合格之日起计算。质保期内，供应商须提供免费的系统维护、bug修复、技术咨询等服务。</w:t>
      </w:r>
    </w:p>
    <w:sectPr>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DB8DD8"/>
    <w:multiLevelType w:val="singleLevel"/>
    <w:tmpl w:val="CFDB8DD8"/>
    <w:lvl w:ilvl="0" w:tentative="0">
      <w:start w:val="0"/>
      <w:numFmt w:val="bullet"/>
      <w:lvlText w:val="•"/>
      <w:lvlJc w:val="left"/>
      <w:rPr>
        <w:color w:val="3370FF"/>
      </w:rPr>
    </w:lvl>
  </w:abstractNum>
  <w:abstractNum w:abstractNumId="1">
    <w:nsid w:val="DFF5E6C5"/>
    <w:multiLevelType w:val="singleLevel"/>
    <w:tmpl w:val="DFF5E6C5"/>
    <w:lvl w:ilvl="0" w:tentative="0">
      <w:start w:val="1"/>
      <w:numFmt w:val="decimal"/>
      <w:lvlText w:val="%1."/>
      <w:lvlJc w:val="left"/>
      <w:pPr>
        <w:ind w:left="425" w:hanging="425"/>
      </w:pPr>
      <w:rPr>
        <w:rFonts w:hint="default"/>
      </w:rPr>
    </w:lvl>
  </w:abstractNum>
  <w:abstractNum w:abstractNumId="2">
    <w:nsid w:val="E637D0BC"/>
    <w:multiLevelType w:val="singleLevel"/>
    <w:tmpl w:val="E637D0BC"/>
    <w:lvl w:ilvl="0" w:tentative="0">
      <w:start w:val="0"/>
      <w:numFmt w:val="bullet"/>
      <w:lvlText w:val="•"/>
      <w:lvlJc w:val="left"/>
      <w:rPr>
        <w:color w:val="3370FF"/>
      </w:rPr>
    </w:lvl>
  </w:abstractNum>
  <w:abstractNum w:abstractNumId="3">
    <w:nsid w:val="FE2F0880"/>
    <w:multiLevelType w:val="singleLevel"/>
    <w:tmpl w:val="FE2F0880"/>
    <w:lvl w:ilvl="0" w:tentative="0">
      <w:start w:val="0"/>
      <w:numFmt w:val="bullet"/>
      <w:lvlText w:val="•"/>
      <w:lvlJc w:val="left"/>
      <w:rPr>
        <w:color w:val="3370FF"/>
      </w:rPr>
    </w:lvl>
  </w:abstractNum>
  <w:abstractNum w:abstractNumId="4">
    <w:nsid w:val="FE83D227"/>
    <w:multiLevelType w:val="singleLevel"/>
    <w:tmpl w:val="FE83D227"/>
    <w:lvl w:ilvl="0" w:tentative="0">
      <w:start w:val="0"/>
      <w:numFmt w:val="bullet"/>
      <w:lvlText w:val="•"/>
      <w:lvlJc w:val="left"/>
      <w:rPr>
        <w:color w:val="3370FF"/>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A31"/>
    <w:rsid w:val="008B33AD"/>
    <w:rsid w:val="00965A31"/>
    <w:rsid w:val="00AE0BE9"/>
    <w:rsid w:val="1EFBE327"/>
    <w:rsid w:val="21433314"/>
    <w:rsid w:val="72992883"/>
    <w:rsid w:val="75EB51DB"/>
    <w:rsid w:val="DD7F0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4"/>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sz w:val="18"/>
      <w:szCs w:val="18"/>
    </w:rPr>
  </w:style>
  <w:style w:type="character" w:customStyle="1" w:styleId="7">
    <w:name w:val="页脚 字符"/>
    <w:basedOn w:val="5"/>
    <w:link w:val="2"/>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1804</Words>
  <Characters>1894</Characters>
  <Lines>14</Lines>
  <Paragraphs>4</Paragraphs>
  <TotalTime>22</TotalTime>
  <ScaleCrop>false</ScaleCrop>
  <LinksUpToDate>false</LinksUpToDate>
  <CharactersWithSpaces>1906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2026-07-20T06:30:00Z</dcterms:created>
  <dc:creator>Apache POI</dc:creator>
  <cp:lastModifiedBy>hu</cp:lastModifiedBy>
  <dcterms:modified xsi:type="dcterms:W3CDTF">2026-07-24T00:01:37Z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{"Label":"1","ContentProducer":"001191110102MACQD9K64010000","ProduceID":"7664246427841580283","ReservedCode1":"","ContentPropagator":"","PropagateID":"","ReservedCode2":""}</vt:lpwstr>
  </property>
  <property fmtid="{D5CDD505-2E9C-101B-9397-08002B2CF9AE}" pid="3" name="KSOProductBuildVer">
    <vt:lpwstr>2052-12.1.0.26895</vt:lpwstr>
  </property>
  <property fmtid="{D5CDD505-2E9C-101B-9397-08002B2CF9AE}" pid="4" name="ICV">
    <vt:lpwstr>0B596ABB54A147DB9285F578221CAE88_13</vt:lpwstr>
  </property>
</Properties>
</file>