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C6F480">
      <w:pPr>
        <w:jc w:val="center"/>
      </w:pPr>
      <w:bookmarkStart w:id="0" w:name="_GoBack"/>
      <w:bookmarkEnd w:id="0"/>
      <w:r>
        <w:rPr>
          <w:rFonts w:ascii="Arial" w:hAnsi="Arial"/>
          <w:b/>
          <w:color w:val="000000"/>
          <w:sz w:val="44"/>
        </w:rPr>
        <w:t>湖州市第三人民医院</w:t>
      </w:r>
    </w:p>
    <w:p w14:paraId="4FEFB793">
      <w:pPr>
        <w:spacing w:after="160"/>
        <w:jc w:val="center"/>
      </w:pPr>
      <w:r>
        <w:rPr>
          <w:rFonts w:hint="eastAsia" w:ascii="Arial" w:hAnsi="Arial"/>
          <w:b/>
          <w:color w:val="000000"/>
          <w:sz w:val="44"/>
          <w:lang w:val="en-US" w:eastAsia="zh-CN"/>
        </w:rPr>
        <w:t>数据库定时</w:t>
      </w:r>
      <w:r>
        <w:rPr>
          <w:rFonts w:hint="eastAsia" w:ascii="Arial" w:hAnsi="Arial"/>
          <w:b/>
          <w:color w:val="000000"/>
          <w:sz w:val="44"/>
        </w:rPr>
        <w:t>备份扩容</w:t>
      </w:r>
      <w:r>
        <w:rPr>
          <w:rFonts w:ascii="Arial" w:hAnsi="Arial"/>
          <w:b/>
          <w:color w:val="000000"/>
          <w:sz w:val="44"/>
        </w:rPr>
        <w:t>项目采购需求</w:t>
      </w:r>
    </w:p>
    <w:p w14:paraId="1BF6CD89">
      <w:pPr>
        <w:pStyle w:val="2"/>
        <w:spacing w:before="160" w:after="80" w:line="360" w:lineRule="auto"/>
      </w:pPr>
      <w:r>
        <w:rPr>
          <w:rFonts w:ascii="Arial" w:hAnsi="Arial"/>
          <w:color w:val="000000"/>
          <w:sz w:val="24"/>
        </w:rPr>
        <w:t>一、项目概况</w:t>
      </w:r>
    </w:p>
    <w:p w14:paraId="1F22744B">
      <w:pPr>
        <w:spacing w:line="276" w:lineRule="auto"/>
        <w:ind w:firstLine="420"/>
        <w:rPr>
          <w:rFonts w:hint="eastAsia"/>
        </w:rPr>
      </w:pPr>
      <w:r>
        <w:rPr>
          <w:rFonts w:hint="eastAsia"/>
        </w:rPr>
        <w:t>湖州市第三人民医院是浙江省首批三级甲等精神病专科医院，以精神、心理和睡眠障碍诊治为主，兼有老年病科、神经内科、风湿免疫科、疼痛科等特色专科。医院HIS、EMR、互联网业务以及各类医疗数据持续在线运行，业务系统及数据库的稳定性直接关系诊疗秩序、患者信息保护和业务连续性。</w:t>
      </w:r>
    </w:p>
    <w:p w14:paraId="0A175B26">
      <w:pPr>
        <w:spacing w:line="276" w:lineRule="auto"/>
        <w:ind w:firstLine="420"/>
        <w:rPr>
          <w:rFonts w:hint="eastAsia"/>
        </w:rPr>
      </w:pPr>
      <w:r>
        <w:rPr>
          <w:rFonts w:hint="eastAsia"/>
        </w:rPr>
        <w:t>医院原有定时备份系统采用自定义代理，无代理，应用代理多种模式，全方位无缝支持用户现有的机房环境。用户通过简明易用的WEB管理控制台，利用丰富的备份级别以及周详的备份计划，实现数据备份恢复系统无人值守，全自动化备份。可视化大屏，概况主页，数据报表，邮件告警帮助用户更好的了解系统的运行状况。</w:t>
      </w:r>
    </w:p>
    <w:p w14:paraId="665C82BD">
      <w:pPr>
        <w:spacing w:line="276" w:lineRule="auto"/>
        <w:ind w:firstLine="420"/>
      </w:pPr>
      <w:r>
        <w:rPr>
          <w:rFonts w:hint="eastAsia"/>
        </w:rPr>
        <w:t>目前定时备份系统的容量已达到上限，无法满足后续我院备份需求，本项目拟扩容10T容量。</w:t>
      </w:r>
    </w:p>
    <w:p w14:paraId="62F0FDAC">
      <w:pPr>
        <w:pStyle w:val="2"/>
        <w:spacing w:before="160" w:after="80" w:line="360" w:lineRule="auto"/>
      </w:pPr>
      <w:r>
        <w:rPr>
          <w:rFonts w:ascii="Arial" w:hAnsi="Arial"/>
          <w:color w:val="000000"/>
          <w:sz w:val="24"/>
        </w:rPr>
        <w:t>二、项目内容</w:t>
      </w:r>
    </w:p>
    <w:tbl>
      <w:tblPr>
        <w:tblStyle w:val="12"/>
        <w:tblW w:w="830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50"/>
        <w:gridCol w:w="2449"/>
        <w:gridCol w:w="4901"/>
      </w:tblGrid>
      <w:tr w14:paraId="292613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blHeader/>
          <w:jc w:val="center"/>
        </w:trPr>
        <w:tc>
          <w:tcPr>
            <w:tcW w:w="950" w:type="dxa"/>
            <w:tcMar>
              <w:top w:w="80" w:type="dxa"/>
              <w:left w:w="100" w:type="dxa"/>
              <w:bottom w:w="80" w:type="dxa"/>
              <w:right w:w="100" w:type="dxa"/>
            </w:tcMar>
            <w:vAlign w:val="center"/>
          </w:tcPr>
          <w:p w14:paraId="486D9F3D">
            <w:pPr>
              <w:spacing w:line="300" w:lineRule="auto"/>
              <w:jc w:val="center"/>
            </w:pPr>
            <w:r>
              <w:rPr>
                <w:rFonts w:ascii="Arial" w:hAnsi="Arial"/>
                <w:b/>
                <w:color w:val="000000"/>
              </w:rPr>
              <w:t>序号</w:t>
            </w:r>
          </w:p>
        </w:tc>
        <w:tc>
          <w:tcPr>
            <w:tcW w:w="2449" w:type="dxa"/>
            <w:tcMar>
              <w:top w:w="80" w:type="dxa"/>
              <w:left w:w="100" w:type="dxa"/>
              <w:bottom w:w="80" w:type="dxa"/>
              <w:right w:w="100" w:type="dxa"/>
            </w:tcMar>
            <w:vAlign w:val="center"/>
          </w:tcPr>
          <w:p w14:paraId="2F8E09B8">
            <w:pPr>
              <w:spacing w:line="300" w:lineRule="auto"/>
              <w:jc w:val="center"/>
            </w:pPr>
            <w:r>
              <w:rPr>
                <w:rFonts w:ascii="Arial" w:hAnsi="Arial"/>
                <w:b/>
                <w:color w:val="000000"/>
              </w:rPr>
              <w:t>内容</w:t>
            </w:r>
          </w:p>
        </w:tc>
        <w:tc>
          <w:tcPr>
            <w:tcW w:w="4901" w:type="dxa"/>
            <w:tcMar>
              <w:top w:w="80" w:type="dxa"/>
              <w:left w:w="100" w:type="dxa"/>
              <w:bottom w:w="80" w:type="dxa"/>
              <w:right w:w="100" w:type="dxa"/>
            </w:tcMar>
            <w:vAlign w:val="center"/>
          </w:tcPr>
          <w:p w14:paraId="03D0C858">
            <w:pPr>
              <w:spacing w:line="300" w:lineRule="auto"/>
              <w:jc w:val="center"/>
            </w:pPr>
            <w:r>
              <w:rPr>
                <w:rFonts w:ascii="Arial" w:hAnsi="Arial"/>
                <w:b/>
                <w:color w:val="000000"/>
              </w:rPr>
              <w:t>说明</w:t>
            </w:r>
          </w:p>
        </w:tc>
      </w:tr>
      <w:tr w14:paraId="25C1D5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950" w:type="dxa"/>
            <w:tcMar>
              <w:top w:w="80" w:type="dxa"/>
              <w:left w:w="100" w:type="dxa"/>
              <w:bottom w:w="80" w:type="dxa"/>
              <w:right w:w="100" w:type="dxa"/>
            </w:tcMar>
            <w:vAlign w:val="center"/>
          </w:tcPr>
          <w:p w14:paraId="65FFCDF7">
            <w:pPr>
              <w:spacing w:line="300" w:lineRule="auto"/>
              <w:jc w:val="center"/>
            </w:pPr>
            <w:r>
              <w:rPr>
                <w:rFonts w:ascii="Arial" w:hAnsi="Arial"/>
                <w:color w:val="000000"/>
                <w:sz w:val="22"/>
              </w:rPr>
              <w:t>1</w:t>
            </w:r>
          </w:p>
        </w:tc>
        <w:tc>
          <w:tcPr>
            <w:tcW w:w="2449" w:type="dxa"/>
            <w:tcMar>
              <w:top w:w="80" w:type="dxa"/>
              <w:left w:w="100" w:type="dxa"/>
              <w:bottom w:w="80" w:type="dxa"/>
              <w:right w:w="100" w:type="dxa"/>
            </w:tcMar>
            <w:vAlign w:val="center"/>
          </w:tcPr>
          <w:p w14:paraId="06BAF9F6">
            <w:pPr>
              <w:spacing w:line="300" w:lineRule="auto"/>
              <w:jc w:val="center"/>
            </w:pPr>
            <w:r>
              <w:rPr>
                <w:rFonts w:hint="eastAsia" w:ascii="Arial" w:hAnsi="Arial"/>
                <w:color w:val="000000"/>
                <w:sz w:val="22"/>
                <w:lang w:val="en-US" w:eastAsia="zh-CN"/>
              </w:rPr>
              <w:t>数据库定时</w:t>
            </w:r>
            <w:r>
              <w:rPr>
                <w:rFonts w:hint="eastAsia" w:ascii="Arial" w:hAnsi="Arial"/>
                <w:color w:val="000000"/>
                <w:sz w:val="22"/>
              </w:rPr>
              <w:t>备份扩容</w:t>
            </w:r>
          </w:p>
        </w:tc>
        <w:tc>
          <w:tcPr>
            <w:tcW w:w="4901" w:type="dxa"/>
            <w:tcMar>
              <w:top w:w="80" w:type="dxa"/>
              <w:left w:w="100" w:type="dxa"/>
              <w:bottom w:w="80" w:type="dxa"/>
              <w:right w:w="100" w:type="dxa"/>
            </w:tcMar>
            <w:vAlign w:val="center"/>
          </w:tcPr>
          <w:p w14:paraId="4D94EAF9">
            <w:pPr>
              <w:spacing w:line="300" w:lineRule="auto"/>
            </w:pPr>
            <w:r>
              <w:rPr>
                <w:rFonts w:ascii="Arial" w:hAnsi="Arial"/>
                <w:color w:val="000000"/>
                <w:sz w:val="22"/>
              </w:rPr>
              <w:t>【数据备份模块】支持Windows/Linux环境，支持SQL Server、Oracle、MySQL、Sybase、DB2、Exchange、AD、Lotus Domino、Gbase、MongoDB、PostgreSQL等主流数据库备份，支持VMware、Hyper-V、Huawei FusionCompute、H3C CAS、SANGFOR HCI等主流虚拟化系统的无代理备份模式，支持差异/增量/全备份模式，支持LAN-Free 备份模式。含10T容量</w:t>
            </w:r>
            <w:r>
              <w:rPr>
                <w:rFonts w:hint="eastAsia" w:ascii="Arial" w:hAnsi="Arial"/>
                <w:color w:val="000000"/>
                <w:sz w:val="22"/>
              </w:rPr>
              <w:t>扩容</w:t>
            </w:r>
            <w:r>
              <w:rPr>
                <w:rFonts w:ascii="Arial" w:hAnsi="Arial"/>
                <w:color w:val="000000"/>
                <w:sz w:val="22"/>
              </w:rPr>
              <w:t>授</w:t>
            </w:r>
            <w:r>
              <w:rPr>
                <w:rFonts w:hint="eastAsia" w:ascii="Arial" w:hAnsi="Arial"/>
                <w:color w:val="000000"/>
                <w:sz w:val="22"/>
              </w:rPr>
              <w:t>。</w:t>
            </w:r>
          </w:p>
        </w:tc>
      </w:tr>
    </w:tbl>
    <w:p w14:paraId="24C34DA4">
      <w:pPr>
        <w:pStyle w:val="2"/>
        <w:spacing w:before="160" w:after="80" w:line="360" w:lineRule="auto"/>
        <w:rPr>
          <w:rFonts w:ascii="Arial" w:hAnsi="Arial"/>
          <w:color w:val="000000"/>
          <w:sz w:val="24"/>
        </w:rPr>
      </w:pPr>
      <w:r>
        <w:rPr>
          <w:rFonts w:ascii="Arial" w:hAnsi="Arial"/>
          <w:color w:val="000000"/>
          <w:sz w:val="24"/>
        </w:rPr>
        <w:t>三、技术要求</w:t>
      </w:r>
    </w:p>
    <w:p w14:paraId="3676B7F7">
      <w:r>
        <w:rPr>
          <w:rFonts w:hint="eastAsia"/>
        </w:rPr>
        <w:t>定时备份功能要求如下：</w:t>
      </w:r>
    </w:p>
    <w:tbl>
      <w:tblPr>
        <w:tblStyle w:val="13"/>
        <w:tblW w:w="5000"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777"/>
        <w:gridCol w:w="1159"/>
        <w:gridCol w:w="6586"/>
      </w:tblGrid>
      <w:tr w14:paraId="72E27C7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19" w:hRule="atLeast"/>
        </w:trPr>
        <w:tc>
          <w:tcPr>
            <w:tcW w:w="456" w:type="pct"/>
            <w:shd w:val="clear" w:color="auto" w:fill="DBE5F1" w:themeFill="accent1" w:themeFillTint="33"/>
            <w:vAlign w:val="center"/>
          </w:tcPr>
          <w:p w14:paraId="76211A91">
            <w:r>
              <w:t>类别</w:t>
            </w:r>
          </w:p>
        </w:tc>
        <w:tc>
          <w:tcPr>
            <w:tcW w:w="680" w:type="pct"/>
            <w:shd w:val="clear" w:color="auto" w:fill="DBE5F1" w:themeFill="accent1" w:themeFillTint="33"/>
            <w:tcMar>
              <w:top w:w="28" w:type="dxa"/>
              <w:bottom w:w="28" w:type="dxa"/>
            </w:tcMar>
            <w:vAlign w:val="center"/>
          </w:tcPr>
          <w:p w14:paraId="09D4AEB5">
            <w:r>
              <w:t>指标项</w:t>
            </w:r>
          </w:p>
        </w:tc>
        <w:tc>
          <w:tcPr>
            <w:tcW w:w="3864" w:type="pct"/>
            <w:shd w:val="clear" w:color="auto" w:fill="DBE5F1" w:themeFill="accent1" w:themeFillTint="33"/>
            <w:tcMar>
              <w:top w:w="28" w:type="dxa"/>
              <w:bottom w:w="28" w:type="dxa"/>
            </w:tcMar>
            <w:vAlign w:val="center"/>
          </w:tcPr>
          <w:p w14:paraId="52E4D9E7">
            <w:r>
              <w:t>指标要求</w:t>
            </w:r>
          </w:p>
        </w:tc>
      </w:tr>
      <w:tr w14:paraId="6287765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5000" w:type="pct"/>
            <w:gridSpan w:val="3"/>
          </w:tcPr>
          <w:p w14:paraId="1D54C289">
            <w:r>
              <w:t>一、总体架构</w:t>
            </w:r>
          </w:p>
        </w:tc>
      </w:tr>
      <w:tr w14:paraId="60D26E7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456" w:type="pct"/>
            <w:vMerge w:val="restart"/>
            <w:vAlign w:val="center"/>
          </w:tcPr>
          <w:p w14:paraId="0A884868">
            <w:r>
              <w:t>产品功能</w:t>
            </w:r>
          </w:p>
        </w:tc>
        <w:tc>
          <w:tcPr>
            <w:tcW w:w="680" w:type="pct"/>
            <w:vMerge w:val="restart"/>
            <w:tcMar>
              <w:top w:w="28" w:type="dxa"/>
              <w:bottom w:w="28" w:type="dxa"/>
            </w:tcMar>
            <w:vAlign w:val="center"/>
          </w:tcPr>
          <w:p w14:paraId="344C43D5">
            <w:r>
              <w:t>系统架构</w:t>
            </w:r>
          </w:p>
        </w:tc>
        <w:tc>
          <w:tcPr>
            <w:tcW w:w="3864" w:type="pct"/>
            <w:tcMar>
              <w:top w:w="28" w:type="dxa"/>
              <w:bottom w:w="28" w:type="dxa"/>
            </w:tcMar>
          </w:tcPr>
          <w:p w14:paraId="057EF8FE">
            <w:r>
              <w:t>支持前后端分离和微服务体系，使用跨平台的技术，实现应用与硬件平台无关联；</w:t>
            </w:r>
          </w:p>
        </w:tc>
      </w:tr>
      <w:tr w14:paraId="27DAEC5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32" w:hRule="atLeast"/>
        </w:trPr>
        <w:tc>
          <w:tcPr>
            <w:tcW w:w="456" w:type="pct"/>
            <w:vMerge w:val="continue"/>
          </w:tcPr>
          <w:p w14:paraId="5304D421"/>
        </w:tc>
        <w:tc>
          <w:tcPr>
            <w:tcW w:w="680" w:type="pct"/>
            <w:vMerge w:val="continue"/>
            <w:tcMar>
              <w:top w:w="28" w:type="dxa"/>
              <w:bottom w:w="28" w:type="dxa"/>
            </w:tcMar>
            <w:vAlign w:val="center"/>
          </w:tcPr>
          <w:p w14:paraId="305188AC"/>
        </w:tc>
        <w:tc>
          <w:tcPr>
            <w:tcW w:w="3864" w:type="pct"/>
            <w:tcMar>
              <w:top w:w="28" w:type="dxa"/>
              <w:bottom w:w="28" w:type="dxa"/>
            </w:tcMar>
          </w:tcPr>
          <w:p w14:paraId="240DBB46">
            <w:r>
              <w:t>采用B/S架构，全中文操作界面，支持主流浏览器，支持https/SSL等加密传输协议；</w:t>
            </w:r>
          </w:p>
        </w:tc>
      </w:tr>
      <w:tr w14:paraId="530BB0A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32" w:hRule="atLeast"/>
        </w:trPr>
        <w:tc>
          <w:tcPr>
            <w:tcW w:w="456" w:type="pct"/>
            <w:vMerge w:val="continue"/>
          </w:tcPr>
          <w:p w14:paraId="2A895597"/>
        </w:tc>
        <w:tc>
          <w:tcPr>
            <w:tcW w:w="680" w:type="pct"/>
            <w:vMerge w:val="continue"/>
            <w:tcMar>
              <w:top w:w="28" w:type="dxa"/>
              <w:bottom w:w="28" w:type="dxa"/>
            </w:tcMar>
            <w:vAlign w:val="center"/>
          </w:tcPr>
          <w:p w14:paraId="408F56F7"/>
        </w:tc>
        <w:tc>
          <w:tcPr>
            <w:tcW w:w="3864" w:type="pct"/>
            <w:tcMar>
              <w:top w:w="28" w:type="dxa"/>
              <w:bottom w:w="28" w:type="dxa"/>
            </w:tcMar>
          </w:tcPr>
          <w:p w14:paraId="4BC119C3">
            <w:r>
              <w:t>采用“云+端”架构，可灵活适配不同类型的灾备端产品；支持横向扩展，实现平滑扩容；</w:t>
            </w:r>
          </w:p>
        </w:tc>
      </w:tr>
      <w:tr w14:paraId="5029D44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32" w:hRule="atLeast"/>
        </w:trPr>
        <w:tc>
          <w:tcPr>
            <w:tcW w:w="456" w:type="pct"/>
            <w:vMerge w:val="continue"/>
          </w:tcPr>
          <w:p w14:paraId="62578B5E"/>
        </w:tc>
        <w:tc>
          <w:tcPr>
            <w:tcW w:w="680" w:type="pct"/>
            <w:vMerge w:val="continue"/>
            <w:tcMar>
              <w:top w:w="28" w:type="dxa"/>
              <w:bottom w:w="28" w:type="dxa"/>
            </w:tcMar>
            <w:vAlign w:val="center"/>
          </w:tcPr>
          <w:p w14:paraId="5757D539"/>
        </w:tc>
        <w:tc>
          <w:tcPr>
            <w:tcW w:w="3864" w:type="pct"/>
            <w:tcMar>
              <w:top w:w="28" w:type="dxa"/>
              <w:bottom w:w="28" w:type="dxa"/>
            </w:tcMar>
          </w:tcPr>
          <w:p w14:paraId="09FC02A4">
            <w:r>
              <w:t>平台支持主备高可用，可实时查看主端和备端平台设备状态、访问地址和RPO信息；（投标时提供功能截图）</w:t>
            </w:r>
          </w:p>
        </w:tc>
      </w:tr>
      <w:tr w14:paraId="6151C9D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76" w:hRule="atLeast"/>
        </w:trPr>
        <w:tc>
          <w:tcPr>
            <w:tcW w:w="456" w:type="pct"/>
            <w:vMerge w:val="continue"/>
          </w:tcPr>
          <w:p w14:paraId="38ABB7D3"/>
        </w:tc>
        <w:tc>
          <w:tcPr>
            <w:tcW w:w="680" w:type="pct"/>
            <w:vMerge w:val="restart"/>
            <w:tcMar>
              <w:top w:w="28" w:type="dxa"/>
              <w:bottom w:w="28" w:type="dxa"/>
            </w:tcMar>
            <w:vAlign w:val="center"/>
          </w:tcPr>
          <w:p w14:paraId="6706DD35">
            <w:r>
              <w:t>部署方式</w:t>
            </w:r>
          </w:p>
        </w:tc>
        <w:tc>
          <w:tcPr>
            <w:tcW w:w="3864" w:type="pct"/>
            <w:tcMar>
              <w:top w:w="28" w:type="dxa"/>
              <w:bottom w:w="28" w:type="dxa"/>
            </w:tcMar>
          </w:tcPr>
          <w:p w14:paraId="60AC4782">
            <w:r>
              <w:t>支持通过客户端、ssh、winrm等数据库主机连接方式；（投标时提供功能截图）</w:t>
            </w:r>
          </w:p>
        </w:tc>
      </w:tr>
      <w:tr w14:paraId="730E864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42" w:hRule="atLeast"/>
        </w:trPr>
        <w:tc>
          <w:tcPr>
            <w:tcW w:w="456" w:type="pct"/>
            <w:vMerge w:val="continue"/>
          </w:tcPr>
          <w:p w14:paraId="50DC3529"/>
        </w:tc>
        <w:tc>
          <w:tcPr>
            <w:tcW w:w="680" w:type="pct"/>
            <w:vMerge w:val="continue"/>
            <w:tcMar>
              <w:top w:w="28" w:type="dxa"/>
              <w:bottom w:w="28" w:type="dxa"/>
            </w:tcMar>
            <w:vAlign w:val="center"/>
          </w:tcPr>
          <w:p w14:paraId="5B8A9FC2"/>
        </w:tc>
        <w:tc>
          <w:tcPr>
            <w:tcW w:w="3864" w:type="pct"/>
            <w:tcMar>
              <w:top w:w="28" w:type="dxa"/>
              <w:bottom w:w="28" w:type="dxa"/>
            </w:tcMar>
          </w:tcPr>
          <w:p w14:paraId="6EA0FAFC">
            <w:r>
              <w:t>部署过程中，无需改造主机上的文件系统，无需更改系统卷配置；部署完成后，无需重启或中断业务即可生效；</w:t>
            </w:r>
          </w:p>
        </w:tc>
      </w:tr>
      <w:tr w14:paraId="27CB00D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00" w:hRule="atLeast"/>
        </w:trPr>
        <w:tc>
          <w:tcPr>
            <w:tcW w:w="456" w:type="pct"/>
            <w:vMerge w:val="continue"/>
          </w:tcPr>
          <w:p w14:paraId="1E2066F6"/>
        </w:tc>
        <w:tc>
          <w:tcPr>
            <w:tcW w:w="680" w:type="pct"/>
            <w:vMerge w:val="restart"/>
            <w:tcMar>
              <w:top w:w="28" w:type="dxa"/>
              <w:bottom w:w="28" w:type="dxa"/>
            </w:tcMar>
            <w:vAlign w:val="center"/>
          </w:tcPr>
          <w:p w14:paraId="49E2419C">
            <w:r>
              <w:t>用户权限</w:t>
            </w:r>
          </w:p>
        </w:tc>
        <w:tc>
          <w:tcPr>
            <w:tcW w:w="3864" w:type="pct"/>
            <w:tcMar>
              <w:top w:w="28" w:type="dxa"/>
              <w:bottom w:w="28" w:type="dxa"/>
            </w:tcMar>
          </w:tcPr>
          <w:p w14:paraId="6FC617F9">
            <w:r>
              <w:t>提供基于配置、授权、审计“三权”划分安全保密防护措施，系统内置安全管理员、安全保密员和安全审计员三种用户角色，整体保障平台基本权限安全；（投标时提供功能截图）</w:t>
            </w:r>
          </w:p>
        </w:tc>
      </w:tr>
      <w:tr w14:paraId="5F2E5B6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456" w:type="pct"/>
            <w:vMerge w:val="continue"/>
          </w:tcPr>
          <w:p w14:paraId="4393389A"/>
        </w:tc>
        <w:tc>
          <w:tcPr>
            <w:tcW w:w="680" w:type="pct"/>
            <w:vMerge w:val="continue"/>
            <w:tcMar>
              <w:top w:w="28" w:type="dxa"/>
              <w:bottom w:w="28" w:type="dxa"/>
            </w:tcMar>
            <w:vAlign w:val="center"/>
          </w:tcPr>
          <w:p w14:paraId="63BF64C3"/>
        </w:tc>
        <w:tc>
          <w:tcPr>
            <w:tcW w:w="3864" w:type="pct"/>
            <w:tcMar>
              <w:top w:w="28" w:type="dxa"/>
              <w:bottom w:w="28" w:type="dxa"/>
            </w:tcMar>
          </w:tcPr>
          <w:p w14:paraId="46D3E858">
            <w:r>
              <w:t>支持用户管理、身份管理、角色配置、操作权限管理，实现用户角色自定义、操作权限安全可控；</w:t>
            </w:r>
          </w:p>
        </w:tc>
      </w:tr>
      <w:tr w14:paraId="5C81736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456" w:type="pct"/>
            <w:vMerge w:val="continue"/>
          </w:tcPr>
          <w:p w14:paraId="7DBA51FC"/>
        </w:tc>
        <w:tc>
          <w:tcPr>
            <w:tcW w:w="680" w:type="pct"/>
            <w:vMerge w:val="continue"/>
            <w:tcMar>
              <w:top w:w="28" w:type="dxa"/>
              <w:bottom w:w="28" w:type="dxa"/>
            </w:tcMar>
            <w:vAlign w:val="center"/>
          </w:tcPr>
          <w:p w14:paraId="535AC454"/>
        </w:tc>
        <w:tc>
          <w:tcPr>
            <w:tcW w:w="3864" w:type="pct"/>
            <w:tcMar>
              <w:top w:w="28" w:type="dxa"/>
              <w:bottom w:w="28" w:type="dxa"/>
            </w:tcMar>
          </w:tcPr>
          <w:p w14:paraId="45F766C0">
            <w:r>
              <w:t>支持数据权限组配置机制，针对拥有相同数据权限的用户组，进行数据权限的快速配置；</w:t>
            </w:r>
          </w:p>
        </w:tc>
      </w:tr>
      <w:tr w14:paraId="6CDE924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456" w:type="pct"/>
            <w:vMerge w:val="continue"/>
          </w:tcPr>
          <w:p w14:paraId="00FBEBAD"/>
        </w:tc>
        <w:tc>
          <w:tcPr>
            <w:tcW w:w="680" w:type="pct"/>
            <w:vMerge w:val="continue"/>
            <w:tcMar>
              <w:top w:w="28" w:type="dxa"/>
              <w:bottom w:w="28" w:type="dxa"/>
            </w:tcMar>
            <w:vAlign w:val="center"/>
          </w:tcPr>
          <w:p w14:paraId="7294FF65"/>
        </w:tc>
        <w:tc>
          <w:tcPr>
            <w:tcW w:w="3864" w:type="pct"/>
            <w:tcMar>
              <w:top w:w="28" w:type="dxa"/>
              <w:bottom w:w="28" w:type="dxa"/>
            </w:tcMar>
          </w:tcPr>
          <w:p w14:paraId="67175B80">
            <w:r>
              <w:t>支持为权限组分配指定</w:t>
            </w:r>
            <w:r>
              <w:rPr>
                <w:lang w:eastAsia="zh-Hans"/>
              </w:rPr>
              <w:t>业务系统</w:t>
            </w:r>
            <w:r>
              <w:t>、演练预案和切换预案，实现</w:t>
            </w:r>
            <w:r>
              <w:rPr>
                <w:lang w:eastAsia="zh-Hans"/>
              </w:rPr>
              <w:t>对业务系统</w:t>
            </w:r>
            <w:r>
              <w:t>资产数据及预案数据的权限管控；</w:t>
            </w:r>
          </w:p>
        </w:tc>
      </w:tr>
      <w:tr w14:paraId="018D95D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456" w:type="pct"/>
            <w:vMerge w:val="continue"/>
          </w:tcPr>
          <w:p w14:paraId="509690CD"/>
        </w:tc>
        <w:tc>
          <w:tcPr>
            <w:tcW w:w="680" w:type="pct"/>
            <w:vMerge w:val="restart"/>
            <w:tcMar>
              <w:top w:w="28" w:type="dxa"/>
              <w:bottom w:w="28" w:type="dxa"/>
            </w:tcMar>
            <w:vAlign w:val="center"/>
          </w:tcPr>
          <w:p w14:paraId="148E6CD2">
            <w:r>
              <w:t>安全性</w:t>
            </w:r>
          </w:p>
        </w:tc>
        <w:tc>
          <w:tcPr>
            <w:tcW w:w="3864" w:type="pct"/>
            <w:tcMar>
              <w:top w:w="28" w:type="dxa"/>
              <w:bottom w:w="28" w:type="dxa"/>
            </w:tcMar>
          </w:tcPr>
          <w:p w14:paraId="11A76D22">
            <w:r>
              <w:t>支持对平台登录用户的密码复杂度（数字、大小写字母、特殊字符、密码长度等）、有效期、密码错误锁定策略等进行限制，有效期过后提供登录重置密码或禁止登陆需联系管理员处理2种处理方式，以确保平台自身账户的安全；</w:t>
            </w:r>
          </w:p>
        </w:tc>
      </w:tr>
      <w:tr w14:paraId="611594D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456" w:type="pct"/>
            <w:vMerge w:val="continue"/>
          </w:tcPr>
          <w:p w14:paraId="1C28B051"/>
        </w:tc>
        <w:tc>
          <w:tcPr>
            <w:tcW w:w="680" w:type="pct"/>
            <w:vMerge w:val="continue"/>
            <w:tcMar>
              <w:top w:w="28" w:type="dxa"/>
              <w:bottom w:w="28" w:type="dxa"/>
            </w:tcMar>
            <w:vAlign w:val="center"/>
          </w:tcPr>
          <w:p w14:paraId="6BD3253E"/>
        </w:tc>
        <w:tc>
          <w:tcPr>
            <w:tcW w:w="3864" w:type="pct"/>
            <w:tcMar>
              <w:top w:w="28" w:type="dxa"/>
              <w:bottom w:w="28" w:type="dxa"/>
            </w:tcMar>
          </w:tcPr>
          <w:p w14:paraId="661B6B53">
            <w:r>
              <w:t>支持对访问身份进行强验证，验证因子包括生物特征-指纹、证书、OTP；</w:t>
            </w:r>
          </w:p>
        </w:tc>
      </w:tr>
      <w:tr w14:paraId="57A2E9C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456" w:type="pct"/>
            <w:vMerge w:val="continue"/>
          </w:tcPr>
          <w:p w14:paraId="54C7C045"/>
        </w:tc>
        <w:tc>
          <w:tcPr>
            <w:tcW w:w="680" w:type="pct"/>
            <w:vMerge w:val="continue"/>
            <w:tcMar>
              <w:top w:w="28" w:type="dxa"/>
              <w:bottom w:w="28" w:type="dxa"/>
            </w:tcMar>
            <w:vAlign w:val="center"/>
          </w:tcPr>
          <w:p w14:paraId="260FA781"/>
        </w:tc>
        <w:tc>
          <w:tcPr>
            <w:tcW w:w="3864" w:type="pct"/>
            <w:tcMar>
              <w:top w:w="28" w:type="dxa"/>
              <w:bottom w:w="28" w:type="dxa"/>
            </w:tcMar>
          </w:tcPr>
          <w:p w14:paraId="1BEB9FBF">
            <w:r>
              <w:t>用户密码应采用加密算法进行存储和验证，服务报文采用对称加密方式加密，并具有校验机制；</w:t>
            </w:r>
          </w:p>
        </w:tc>
      </w:tr>
      <w:tr w14:paraId="74D091B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456" w:type="pct"/>
            <w:vMerge w:val="continue"/>
          </w:tcPr>
          <w:p w14:paraId="5F4BC889"/>
        </w:tc>
        <w:tc>
          <w:tcPr>
            <w:tcW w:w="680" w:type="pct"/>
            <w:vMerge w:val="continue"/>
            <w:tcMar>
              <w:top w:w="28" w:type="dxa"/>
              <w:bottom w:w="28" w:type="dxa"/>
            </w:tcMar>
            <w:vAlign w:val="center"/>
          </w:tcPr>
          <w:p w14:paraId="1D05DD48"/>
        </w:tc>
        <w:tc>
          <w:tcPr>
            <w:tcW w:w="3864" w:type="pct"/>
            <w:tcMar>
              <w:top w:w="28" w:type="dxa"/>
              <w:bottom w:w="28" w:type="dxa"/>
            </w:tcMar>
          </w:tcPr>
          <w:p w14:paraId="6A7CDF6A">
            <w:r>
              <w:t>提供详细有效的系统运行日志，支持一键下载，便于对故障、事件和错误等进行分析和定位，方便事件处理和审计追溯；</w:t>
            </w:r>
          </w:p>
        </w:tc>
      </w:tr>
      <w:tr w14:paraId="78750E9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456" w:type="pct"/>
            <w:vMerge w:val="continue"/>
          </w:tcPr>
          <w:p w14:paraId="0B00BE57"/>
        </w:tc>
        <w:tc>
          <w:tcPr>
            <w:tcW w:w="680" w:type="pct"/>
            <w:vMerge w:val="continue"/>
            <w:tcMar>
              <w:top w:w="28" w:type="dxa"/>
              <w:bottom w:w="28" w:type="dxa"/>
            </w:tcMar>
            <w:vAlign w:val="center"/>
          </w:tcPr>
          <w:p w14:paraId="2F90F389"/>
        </w:tc>
        <w:tc>
          <w:tcPr>
            <w:tcW w:w="3864" w:type="pct"/>
            <w:tcMar>
              <w:top w:w="28" w:type="dxa"/>
              <w:bottom w:w="28" w:type="dxa"/>
            </w:tcMar>
          </w:tcPr>
          <w:p w14:paraId="745E5E51">
            <w:r>
              <w:t>提供详细有效的用户使用日志，包括不限于：操作模块、浏览器类型和版本、设备类型、客户端IP、操作系统类型等，便于操作追溯和审计归档；</w:t>
            </w:r>
          </w:p>
        </w:tc>
      </w:tr>
      <w:tr w14:paraId="2DCAAF6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5000" w:type="pct"/>
            <w:gridSpan w:val="3"/>
          </w:tcPr>
          <w:p w14:paraId="1F5C075B">
            <w:r>
              <w:t>二、灾备管控中心</w:t>
            </w:r>
          </w:p>
        </w:tc>
      </w:tr>
      <w:tr w14:paraId="22AA02D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78" w:hRule="atLeast"/>
        </w:trPr>
        <w:tc>
          <w:tcPr>
            <w:tcW w:w="456" w:type="pct"/>
            <w:vMerge w:val="restart"/>
            <w:vAlign w:val="center"/>
          </w:tcPr>
          <w:p w14:paraId="5308DFF8">
            <w:r>
              <w:t>产品功能</w:t>
            </w:r>
          </w:p>
        </w:tc>
        <w:tc>
          <w:tcPr>
            <w:tcW w:w="680" w:type="pct"/>
            <w:vMerge w:val="restart"/>
            <w:tcMar>
              <w:top w:w="28" w:type="dxa"/>
              <w:bottom w:w="28" w:type="dxa"/>
            </w:tcMar>
            <w:vAlign w:val="center"/>
          </w:tcPr>
          <w:p w14:paraId="1BB1D9A4">
            <w:r>
              <w:t>对象适配</w:t>
            </w:r>
          </w:p>
        </w:tc>
        <w:tc>
          <w:tcPr>
            <w:tcW w:w="3864" w:type="pct"/>
            <w:tcMar>
              <w:top w:w="28" w:type="dxa"/>
              <w:bottom w:w="28" w:type="dxa"/>
            </w:tcMar>
          </w:tcPr>
          <w:p w14:paraId="602244AB">
            <w:r>
              <w:t>支持对数据库物理复制、数据库逻辑复制、应用版本同步、海量文件同步、主机CDP、数据备份、第三方等灾备能力的统一管控；</w:t>
            </w:r>
          </w:p>
        </w:tc>
      </w:tr>
      <w:tr w14:paraId="3595DE5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78" w:hRule="atLeast"/>
        </w:trPr>
        <w:tc>
          <w:tcPr>
            <w:tcW w:w="456" w:type="pct"/>
            <w:vMerge w:val="continue"/>
          </w:tcPr>
          <w:p w14:paraId="4B70F219"/>
        </w:tc>
        <w:tc>
          <w:tcPr>
            <w:tcW w:w="680" w:type="pct"/>
            <w:vMerge w:val="continue"/>
            <w:tcMar>
              <w:top w:w="28" w:type="dxa"/>
              <w:bottom w:w="28" w:type="dxa"/>
            </w:tcMar>
            <w:vAlign w:val="center"/>
          </w:tcPr>
          <w:p w14:paraId="2D525966"/>
        </w:tc>
        <w:tc>
          <w:tcPr>
            <w:tcW w:w="3864" w:type="pct"/>
            <w:tcMar>
              <w:top w:w="28" w:type="dxa"/>
              <w:bottom w:w="28" w:type="dxa"/>
            </w:tcMar>
          </w:tcPr>
          <w:p w14:paraId="1C808988">
            <w:r>
              <w:t>支持Windows、Linux、AIX、HP-UX、Solaris、SUSE等操作系统平台；</w:t>
            </w:r>
          </w:p>
        </w:tc>
      </w:tr>
      <w:tr w14:paraId="4B0B69B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78" w:hRule="atLeast"/>
        </w:trPr>
        <w:tc>
          <w:tcPr>
            <w:tcW w:w="456" w:type="pct"/>
            <w:vMerge w:val="continue"/>
          </w:tcPr>
          <w:p w14:paraId="04C6AFE4"/>
        </w:tc>
        <w:tc>
          <w:tcPr>
            <w:tcW w:w="680" w:type="pct"/>
            <w:vMerge w:val="continue"/>
            <w:tcMar>
              <w:top w:w="28" w:type="dxa"/>
              <w:bottom w:w="28" w:type="dxa"/>
            </w:tcMar>
            <w:vAlign w:val="center"/>
          </w:tcPr>
          <w:p w14:paraId="1AE8DE91"/>
        </w:tc>
        <w:tc>
          <w:tcPr>
            <w:tcW w:w="3864" w:type="pct"/>
            <w:tcMar>
              <w:top w:w="28" w:type="dxa"/>
              <w:bottom w:w="28" w:type="dxa"/>
            </w:tcMar>
          </w:tcPr>
          <w:p w14:paraId="54F37E55">
            <w:r>
              <w:t>支持Oracle、SQL Server、MySQL、PostgreSQL、DB2、Redis、MongoDB、达梦、Informix、HANA、kingbase、TiDB、openGauss、InterSystems、海量Vastbase、TDSQL、阿里云MySQL、OceanBase、瀚高HighGo、MariaDB、Cache、GaussDB等数据库容灾纳管，无须脚本编写和二次开发；（投标时提供功能截图）</w:t>
            </w:r>
          </w:p>
        </w:tc>
      </w:tr>
      <w:tr w14:paraId="34E9CCB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78" w:hRule="atLeast"/>
        </w:trPr>
        <w:tc>
          <w:tcPr>
            <w:tcW w:w="456" w:type="pct"/>
            <w:vMerge w:val="continue"/>
          </w:tcPr>
          <w:p w14:paraId="31FA2B1C"/>
        </w:tc>
        <w:tc>
          <w:tcPr>
            <w:tcW w:w="680" w:type="pct"/>
            <w:vMerge w:val="continue"/>
            <w:tcMar>
              <w:top w:w="28" w:type="dxa"/>
              <w:bottom w:w="28" w:type="dxa"/>
            </w:tcMar>
            <w:vAlign w:val="center"/>
          </w:tcPr>
          <w:p w14:paraId="0DF2ED16"/>
        </w:tc>
        <w:tc>
          <w:tcPr>
            <w:tcW w:w="3864" w:type="pct"/>
            <w:tcMar>
              <w:top w:w="28" w:type="dxa"/>
              <w:bottom w:w="28" w:type="dxa"/>
            </w:tcMar>
          </w:tcPr>
          <w:p w14:paraId="6B8D0146">
            <w:r>
              <w:t>支持WebLogic、WebSphere、Tomcat、RocketMQ、MinIO等主流中间件，无须脚本编写和二次开发，开箱即用；</w:t>
            </w:r>
          </w:p>
        </w:tc>
      </w:tr>
      <w:tr w14:paraId="3734CF1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78" w:hRule="atLeast"/>
        </w:trPr>
        <w:tc>
          <w:tcPr>
            <w:tcW w:w="456" w:type="pct"/>
            <w:vMerge w:val="continue"/>
          </w:tcPr>
          <w:p w14:paraId="45F088B8"/>
        </w:tc>
        <w:tc>
          <w:tcPr>
            <w:tcW w:w="680" w:type="pct"/>
            <w:vMerge w:val="continue"/>
            <w:tcMar>
              <w:top w:w="28" w:type="dxa"/>
              <w:bottom w:w="28" w:type="dxa"/>
            </w:tcMar>
            <w:vAlign w:val="center"/>
          </w:tcPr>
          <w:p w14:paraId="7944C753"/>
        </w:tc>
        <w:tc>
          <w:tcPr>
            <w:tcW w:w="3864" w:type="pct"/>
            <w:tcMar>
              <w:top w:w="28" w:type="dxa"/>
              <w:bottom w:w="28" w:type="dxa"/>
            </w:tcMar>
          </w:tcPr>
          <w:p w14:paraId="59649540">
            <w:r>
              <w:t>支持负载均衡、DNS、IP地址等网络对象，无须脚本编写和二次开发，开箱即用；</w:t>
            </w:r>
          </w:p>
        </w:tc>
      </w:tr>
      <w:tr w14:paraId="6D21BF3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78" w:hRule="atLeast"/>
        </w:trPr>
        <w:tc>
          <w:tcPr>
            <w:tcW w:w="456" w:type="pct"/>
            <w:vMerge w:val="continue"/>
          </w:tcPr>
          <w:p w14:paraId="054A77CC"/>
        </w:tc>
        <w:tc>
          <w:tcPr>
            <w:tcW w:w="680" w:type="pct"/>
            <w:vMerge w:val="continue"/>
            <w:tcMar>
              <w:top w:w="28" w:type="dxa"/>
              <w:bottom w:w="28" w:type="dxa"/>
            </w:tcMar>
            <w:vAlign w:val="center"/>
          </w:tcPr>
          <w:p w14:paraId="5FCC5982"/>
        </w:tc>
        <w:tc>
          <w:tcPr>
            <w:tcW w:w="3864" w:type="pct"/>
            <w:tcMar>
              <w:top w:w="28" w:type="dxa"/>
              <w:bottom w:w="28" w:type="dxa"/>
            </w:tcMar>
          </w:tcPr>
          <w:p w14:paraId="230CFB45">
            <w:r>
              <w:t>支持Veeam Backup&amp;Replication、vCenter Server、Netbackup、i2 COOPY、kubernetes、神马自动化平台、博云容器云平台、阿里云平台、华为云平台、腾讯云平台、XHERE超融合平台、TDSQL赤兔管理平台、OceanBase运维管理工具、F5 BIG -ip、云信达ecBackup等三方厂商的产品对接，无须脚本编写和二次开发；（投标时提供功能截图）</w:t>
            </w:r>
          </w:p>
        </w:tc>
      </w:tr>
      <w:tr w14:paraId="52EDC14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78" w:hRule="atLeast"/>
        </w:trPr>
        <w:tc>
          <w:tcPr>
            <w:tcW w:w="456" w:type="pct"/>
            <w:vMerge w:val="continue"/>
          </w:tcPr>
          <w:p w14:paraId="0216695F"/>
        </w:tc>
        <w:tc>
          <w:tcPr>
            <w:tcW w:w="680" w:type="pct"/>
            <w:vMerge w:val="continue"/>
            <w:tcMar>
              <w:top w:w="28" w:type="dxa"/>
              <w:bottom w:w="28" w:type="dxa"/>
            </w:tcMar>
            <w:vAlign w:val="center"/>
          </w:tcPr>
          <w:p w14:paraId="25E4ADAD"/>
        </w:tc>
        <w:tc>
          <w:tcPr>
            <w:tcW w:w="3864" w:type="pct"/>
            <w:tcMar>
              <w:top w:w="28" w:type="dxa"/>
              <w:bottom w:w="28" w:type="dxa"/>
            </w:tcMar>
          </w:tcPr>
          <w:p w14:paraId="624588D3">
            <w:r>
              <w:t>针对应用和通用资产，可自定义超时时间、监控频率、历史信息归档周期；</w:t>
            </w:r>
          </w:p>
        </w:tc>
      </w:tr>
      <w:tr w14:paraId="14D102F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78" w:hRule="atLeast"/>
        </w:trPr>
        <w:tc>
          <w:tcPr>
            <w:tcW w:w="456" w:type="pct"/>
            <w:vMerge w:val="continue"/>
          </w:tcPr>
          <w:p w14:paraId="3EFCD25C"/>
        </w:tc>
        <w:tc>
          <w:tcPr>
            <w:tcW w:w="680" w:type="pct"/>
            <w:vMerge w:val="continue"/>
            <w:tcMar>
              <w:top w:w="28" w:type="dxa"/>
              <w:bottom w:w="28" w:type="dxa"/>
            </w:tcMar>
            <w:vAlign w:val="center"/>
          </w:tcPr>
          <w:p w14:paraId="56CF751B"/>
        </w:tc>
        <w:tc>
          <w:tcPr>
            <w:tcW w:w="3864" w:type="pct"/>
            <w:tcMar>
              <w:top w:w="28" w:type="dxa"/>
              <w:bottom w:w="28" w:type="dxa"/>
            </w:tcMar>
          </w:tcPr>
          <w:p w14:paraId="4C770D24">
            <w:r>
              <w:t>针对产品未适配或者业务相关性较强的非标准化资产类型，系统内置通用适配模型，支持定义类型、资产属性，支持配置主从角色检查脚本、可用性监控脚本、详细监控脚本、切换前检查脚本、停止脚本、开启脚本、切换后检查脚本，支持脚本示例查看；（投标时提供功能截图）</w:t>
            </w:r>
          </w:p>
        </w:tc>
      </w:tr>
      <w:tr w14:paraId="1C64555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456" w:type="pct"/>
            <w:vMerge w:val="continue"/>
          </w:tcPr>
          <w:p w14:paraId="731ABE15">
            <w:pPr>
              <w:rPr>
                <w:lang w:eastAsia="zh-Hans"/>
              </w:rPr>
            </w:pPr>
          </w:p>
        </w:tc>
        <w:tc>
          <w:tcPr>
            <w:tcW w:w="680" w:type="pct"/>
            <w:vMerge w:val="restart"/>
            <w:tcMar>
              <w:top w:w="28" w:type="dxa"/>
              <w:bottom w:w="28" w:type="dxa"/>
            </w:tcMar>
            <w:vAlign w:val="center"/>
          </w:tcPr>
          <w:p w14:paraId="1115D5A8">
            <w:pPr>
              <w:rPr>
                <w:lang w:eastAsia="zh-Hans"/>
              </w:rPr>
            </w:pPr>
            <w:r>
              <w:rPr>
                <w:lang w:eastAsia="zh-Hans"/>
              </w:rPr>
              <w:t>预案体系</w:t>
            </w:r>
          </w:p>
        </w:tc>
        <w:tc>
          <w:tcPr>
            <w:tcW w:w="3864" w:type="pct"/>
            <w:tcMar>
              <w:top w:w="28" w:type="dxa"/>
              <w:bottom w:w="28" w:type="dxa"/>
            </w:tcMar>
          </w:tcPr>
          <w:p w14:paraId="645A90C2">
            <w:r>
              <w:t>内置信息技术故障、人为破坏、自然灾害等类型的灾难事件库，支持灾难事件的自定义管理；</w:t>
            </w:r>
          </w:p>
        </w:tc>
      </w:tr>
      <w:tr w14:paraId="1F33116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69" w:hRule="atLeast"/>
        </w:trPr>
        <w:tc>
          <w:tcPr>
            <w:tcW w:w="456" w:type="pct"/>
            <w:vMerge w:val="continue"/>
          </w:tcPr>
          <w:p w14:paraId="3CD727D9">
            <w:pPr>
              <w:rPr>
                <w:lang w:eastAsia="zh-Hans"/>
              </w:rPr>
            </w:pPr>
          </w:p>
        </w:tc>
        <w:tc>
          <w:tcPr>
            <w:tcW w:w="680" w:type="pct"/>
            <w:vMerge w:val="continue"/>
            <w:tcMar>
              <w:top w:w="28" w:type="dxa"/>
              <w:bottom w:w="28" w:type="dxa"/>
            </w:tcMar>
            <w:vAlign w:val="center"/>
          </w:tcPr>
          <w:p w14:paraId="77B619CA">
            <w:pPr>
              <w:rPr>
                <w:lang w:eastAsia="zh-Hans"/>
              </w:rPr>
            </w:pPr>
          </w:p>
        </w:tc>
        <w:tc>
          <w:tcPr>
            <w:tcW w:w="3864" w:type="pct"/>
            <w:tcMar>
              <w:top w:w="28" w:type="dxa"/>
              <w:bottom w:w="28" w:type="dxa"/>
            </w:tcMar>
          </w:tcPr>
          <w:p w14:paraId="75231324">
            <w:pPr>
              <w:rPr>
                <w:lang w:eastAsia="zh-Hans"/>
              </w:rPr>
            </w:pPr>
            <w:r>
              <w:t>支持对编排库的统一管理；支持针对桌面演练、容灾演练、灾难切换，通过图形化方式自定义编排切换流程；支持串行、并行、串并行组合等灵活编排方式；（投标时提供功能截图）</w:t>
            </w:r>
          </w:p>
        </w:tc>
      </w:tr>
      <w:tr w14:paraId="3B3832B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69" w:hRule="atLeast"/>
        </w:trPr>
        <w:tc>
          <w:tcPr>
            <w:tcW w:w="456" w:type="pct"/>
            <w:vMerge w:val="continue"/>
          </w:tcPr>
          <w:p w14:paraId="4D841F4B"/>
        </w:tc>
        <w:tc>
          <w:tcPr>
            <w:tcW w:w="680" w:type="pct"/>
            <w:vMerge w:val="continue"/>
            <w:tcMar>
              <w:top w:w="28" w:type="dxa"/>
              <w:bottom w:w="28" w:type="dxa"/>
            </w:tcMar>
            <w:vAlign w:val="center"/>
          </w:tcPr>
          <w:p w14:paraId="70238B83">
            <w:pPr>
              <w:rPr>
                <w:lang w:eastAsia="zh-Hans"/>
              </w:rPr>
            </w:pPr>
          </w:p>
        </w:tc>
        <w:tc>
          <w:tcPr>
            <w:tcW w:w="3864" w:type="pct"/>
            <w:tcMar>
              <w:top w:w="28" w:type="dxa"/>
              <w:bottom w:w="28" w:type="dxa"/>
            </w:tcMar>
          </w:tcPr>
          <w:p w14:paraId="4EA2305B">
            <w:r>
              <w:t>支持在一个场景中同时编排数据库、应用、主机、文件、网络、自定义节点等能力，实现一键业务级切换；（投标时提供功能截图）</w:t>
            </w:r>
          </w:p>
        </w:tc>
      </w:tr>
      <w:tr w14:paraId="44AE030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69" w:hRule="atLeast"/>
        </w:trPr>
        <w:tc>
          <w:tcPr>
            <w:tcW w:w="456" w:type="pct"/>
            <w:vMerge w:val="continue"/>
          </w:tcPr>
          <w:p w14:paraId="0A110DDF"/>
        </w:tc>
        <w:tc>
          <w:tcPr>
            <w:tcW w:w="680" w:type="pct"/>
            <w:vMerge w:val="continue"/>
            <w:tcMar>
              <w:top w:w="28" w:type="dxa"/>
              <w:bottom w:w="28" w:type="dxa"/>
            </w:tcMar>
            <w:vAlign w:val="center"/>
          </w:tcPr>
          <w:p w14:paraId="5AD19768">
            <w:pPr>
              <w:rPr>
                <w:lang w:eastAsia="zh-Hans"/>
              </w:rPr>
            </w:pPr>
          </w:p>
        </w:tc>
        <w:tc>
          <w:tcPr>
            <w:tcW w:w="3864" w:type="pct"/>
            <w:tcMar>
              <w:top w:w="28" w:type="dxa"/>
              <w:bottom w:w="28" w:type="dxa"/>
            </w:tcMar>
          </w:tcPr>
          <w:p w14:paraId="3463B347">
            <w:r>
              <w:t>支持通过自定义关联预案的业务系统、参与人员、所属事件和关联编排，实现预案管理；支持在线编写预案文档，并内置行业性预案文档模板，以供便捷应用；（投标时提供功能截图）</w:t>
            </w:r>
          </w:p>
        </w:tc>
      </w:tr>
      <w:tr w14:paraId="3EC5249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69" w:hRule="atLeast"/>
        </w:trPr>
        <w:tc>
          <w:tcPr>
            <w:tcW w:w="456" w:type="pct"/>
            <w:vMerge w:val="continue"/>
          </w:tcPr>
          <w:p w14:paraId="2D58CC75"/>
        </w:tc>
        <w:tc>
          <w:tcPr>
            <w:tcW w:w="680" w:type="pct"/>
            <w:vMerge w:val="restart"/>
            <w:tcMar>
              <w:top w:w="28" w:type="dxa"/>
              <w:bottom w:w="28" w:type="dxa"/>
            </w:tcMar>
            <w:vAlign w:val="center"/>
          </w:tcPr>
          <w:p w14:paraId="0251A6BB">
            <w:pPr>
              <w:rPr>
                <w:lang w:eastAsia="zh-Hans"/>
              </w:rPr>
            </w:pPr>
            <w:r>
              <w:rPr>
                <w:lang w:eastAsia="zh-Hans"/>
              </w:rPr>
              <w:t>预案评估</w:t>
            </w:r>
          </w:p>
        </w:tc>
        <w:tc>
          <w:tcPr>
            <w:tcW w:w="3864" w:type="pct"/>
            <w:tcMar>
              <w:top w:w="28" w:type="dxa"/>
              <w:bottom w:w="28" w:type="dxa"/>
            </w:tcMar>
          </w:tcPr>
          <w:p w14:paraId="7523831C">
            <w:r>
              <w:t>支持对预案切换能力、运行环境、编排完整度和预案文档等进行一键评估，内置数据库切换评估和运行评估，并提供评估日志和评估建议；（投标时提供功能截图）</w:t>
            </w:r>
          </w:p>
        </w:tc>
      </w:tr>
      <w:tr w14:paraId="47ECB24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69" w:hRule="atLeast"/>
        </w:trPr>
        <w:tc>
          <w:tcPr>
            <w:tcW w:w="456" w:type="pct"/>
            <w:vMerge w:val="continue"/>
          </w:tcPr>
          <w:p w14:paraId="17DEF218"/>
        </w:tc>
        <w:tc>
          <w:tcPr>
            <w:tcW w:w="680" w:type="pct"/>
            <w:vMerge w:val="continue"/>
            <w:tcMar>
              <w:top w:w="28" w:type="dxa"/>
              <w:bottom w:w="28" w:type="dxa"/>
            </w:tcMar>
            <w:vAlign w:val="center"/>
          </w:tcPr>
          <w:p w14:paraId="7ABE6444">
            <w:pPr>
              <w:rPr>
                <w:lang w:eastAsia="zh-Hans"/>
              </w:rPr>
            </w:pPr>
          </w:p>
        </w:tc>
        <w:tc>
          <w:tcPr>
            <w:tcW w:w="3864" w:type="pct"/>
            <w:tcMar>
              <w:top w:w="28" w:type="dxa"/>
              <w:bottom w:w="28" w:type="dxa"/>
            </w:tcMar>
          </w:tcPr>
          <w:p w14:paraId="791120FC">
            <w:r>
              <w:t>评估完成后自动生成评估记录，确保评估结果可追溯；支持快速定位切换能力和环境运行风险；支持评估记录的一键导出；</w:t>
            </w:r>
          </w:p>
        </w:tc>
      </w:tr>
      <w:tr w14:paraId="3DD6364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69" w:hRule="atLeast"/>
        </w:trPr>
        <w:tc>
          <w:tcPr>
            <w:tcW w:w="456" w:type="pct"/>
            <w:vMerge w:val="continue"/>
          </w:tcPr>
          <w:p w14:paraId="2BD1BAE3"/>
        </w:tc>
        <w:tc>
          <w:tcPr>
            <w:tcW w:w="680" w:type="pct"/>
            <w:vMerge w:val="restart"/>
            <w:tcMar>
              <w:top w:w="28" w:type="dxa"/>
              <w:bottom w:w="28" w:type="dxa"/>
            </w:tcMar>
            <w:vAlign w:val="center"/>
          </w:tcPr>
          <w:p w14:paraId="4ECD3952">
            <w:pPr>
              <w:rPr>
                <w:lang w:eastAsia="zh-Hans"/>
              </w:rPr>
            </w:pPr>
            <w:r>
              <w:t>桌面演练</w:t>
            </w:r>
          </w:p>
        </w:tc>
        <w:tc>
          <w:tcPr>
            <w:tcW w:w="3864" w:type="pct"/>
            <w:tcMar>
              <w:top w:w="28" w:type="dxa"/>
              <w:bottom w:w="28" w:type="dxa"/>
            </w:tcMar>
          </w:tcPr>
          <w:p w14:paraId="0C274EFB">
            <w:r>
              <w:t>在灾备侧数据库可访问的场景下，支持发起数据库级别的桌面演练，对生产业务无影响；（投标时提供功能截图）</w:t>
            </w:r>
          </w:p>
        </w:tc>
      </w:tr>
      <w:tr w14:paraId="29FE503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69" w:hRule="atLeast"/>
        </w:trPr>
        <w:tc>
          <w:tcPr>
            <w:tcW w:w="456" w:type="pct"/>
            <w:vMerge w:val="continue"/>
          </w:tcPr>
          <w:p w14:paraId="5CD11135"/>
        </w:tc>
        <w:tc>
          <w:tcPr>
            <w:tcW w:w="680" w:type="pct"/>
            <w:vMerge w:val="continue"/>
            <w:tcMar>
              <w:top w:w="28" w:type="dxa"/>
              <w:bottom w:w="28" w:type="dxa"/>
            </w:tcMar>
            <w:vAlign w:val="center"/>
          </w:tcPr>
          <w:p w14:paraId="20CA3782">
            <w:pPr>
              <w:rPr>
                <w:lang w:eastAsia="zh-Hans"/>
              </w:rPr>
            </w:pPr>
          </w:p>
        </w:tc>
        <w:tc>
          <w:tcPr>
            <w:tcW w:w="3864" w:type="pct"/>
            <w:tcMar>
              <w:top w:w="28" w:type="dxa"/>
              <w:bottom w:w="28" w:type="dxa"/>
            </w:tcMar>
          </w:tcPr>
          <w:p w14:paraId="1C06D5BB">
            <w:pPr>
              <w:rPr>
                <w:lang w:eastAsia="zh-Hans"/>
              </w:rPr>
            </w:pPr>
            <w:r>
              <w:t>支</w:t>
            </w:r>
            <w:r>
              <w:rPr>
                <w:lang w:eastAsia="zh-Hans"/>
              </w:rPr>
              <w:t>持全业务级资产的桌面演练，支持数据库、应用、中间件、网络IP、网络资产、通用资产、检查点等资产类型，支持对CDP备份数据进行验证演练</w:t>
            </w:r>
            <w:r>
              <w:t>及恢复演练</w:t>
            </w:r>
            <w:r>
              <w:rPr>
                <w:lang w:eastAsia="zh-Hans"/>
              </w:rPr>
              <w:t>，并通过端口或脚本方式进行CDP业务验证；</w:t>
            </w:r>
          </w:p>
        </w:tc>
      </w:tr>
      <w:tr w14:paraId="57FCFF5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69" w:hRule="atLeast"/>
        </w:trPr>
        <w:tc>
          <w:tcPr>
            <w:tcW w:w="456" w:type="pct"/>
            <w:vMerge w:val="continue"/>
          </w:tcPr>
          <w:p w14:paraId="7CF79F84"/>
        </w:tc>
        <w:tc>
          <w:tcPr>
            <w:tcW w:w="680" w:type="pct"/>
            <w:vMerge w:val="continue"/>
            <w:tcMar>
              <w:top w:w="28" w:type="dxa"/>
              <w:bottom w:w="28" w:type="dxa"/>
            </w:tcMar>
            <w:vAlign w:val="center"/>
          </w:tcPr>
          <w:p w14:paraId="70383B8F">
            <w:pPr>
              <w:rPr>
                <w:lang w:eastAsia="zh-Hans"/>
              </w:rPr>
            </w:pPr>
          </w:p>
        </w:tc>
        <w:tc>
          <w:tcPr>
            <w:tcW w:w="3864" w:type="pct"/>
            <w:tcMar>
              <w:top w:w="28" w:type="dxa"/>
              <w:bottom w:w="28" w:type="dxa"/>
            </w:tcMar>
          </w:tcPr>
          <w:p w14:paraId="0E32E066">
            <w:r>
              <w:rPr>
                <w:lang w:eastAsia="zh-Hans"/>
              </w:rPr>
              <w:t>支持桌面演练过程前后的环境检查能力，针对主备之间状态、用户权限、环境参数等维度，进行桌面演练操作的安全检查；</w:t>
            </w:r>
          </w:p>
        </w:tc>
      </w:tr>
      <w:tr w14:paraId="605972E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26" w:hRule="atLeast"/>
        </w:trPr>
        <w:tc>
          <w:tcPr>
            <w:tcW w:w="456" w:type="pct"/>
            <w:vMerge w:val="continue"/>
          </w:tcPr>
          <w:p w14:paraId="7254E494">
            <w:pPr>
              <w:rPr>
                <w:lang w:eastAsia="zh-Hans"/>
              </w:rPr>
            </w:pPr>
          </w:p>
        </w:tc>
        <w:tc>
          <w:tcPr>
            <w:tcW w:w="680" w:type="pct"/>
            <w:vMerge w:val="continue"/>
            <w:tcMar>
              <w:top w:w="28" w:type="dxa"/>
              <w:bottom w:w="28" w:type="dxa"/>
            </w:tcMar>
            <w:vAlign w:val="center"/>
          </w:tcPr>
          <w:p w14:paraId="0E3892BD">
            <w:pPr>
              <w:rPr>
                <w:lang w:eastAsia="zh-Hans"/>
              </w:rPr>
            </w:pPr>
          </w:p>
        </w:tc>
        <w:tc>
          <w:tcPr>
            <w:tcW w:w="3864" w:type="pct"/>
            <w:tcMar>
              <w:top w:w="28" w:type="dxa"/>
              <w:bottom w:w="28" w:type="dxa"/>
            </w:tcMar>
          </w:tcPr>
          <w:p w14:paraId="3F988E70">
            <w:r>
              <w:t>支持桌面演练环境的自动化恢复和检查；（投标时提供功能截图）</w:t>
            </w:r>
          </w:p>
        </w:tc>
      </w:tr>
      <w:tr w14:paraId="34E341C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90" w:hRule="atLeast"/>
        </w:trPr>
        <w:tc>
          <w:tcPr>
            <w:tcW w:w="456" w:type="pct"/>
            <w:vMerge w:val="continue"/>
          </w:tcPr>
          <w:p w14:paraId="12050C85"/>
        </w:tc>
        <w:tc>
          <w:tcPr>
            <w:tcW w:w="680" w:type="pct"/>
            <w:vMerge w:val="restart"/>
            <w:tcMar>
              <w:top w:w="28" w:type="dxa"/>
              <w:bottom w:w="28" w:type="dxa"/>
            </w:tcMar>
            <w:vAlign w:val="center"/>
          </w:tcPr>
          <w:p w14:paraId="2B41B977">
            <w:r>
              <w:t>安全合规</w:t>
            </w:r>
          </w:p>
        </w:tc>
        <w:tc>
          <w:tcPr>
            <w:tcW w:w="3864" w:type="pct"/>
            <w:tcMar>
              <w:top w:w="28" w:type="dxa"/>
              <w:bottom w:w="28" w:type="dxa"/>
            </w:tcMar>
          </w:tcPr>
          <w:p w14:paraId="7D615142">
            <w:r>
              <w:t>支持切换过程中</w:t>
            </w:r>
            <w:r>
              <w:rPr>
                <w:lang w:eastAsia="zh-Hans"/>
              </w:rPr>
              <w:t>的命令</w:t>
            </w:r>
            <w:r>
              <w:t>回显，以图片形式进行实时展示，并</w:t>
            </w:r>
            <w:r>
              <w:rPr>
                <w:lang w:eastAsia="zh-Hans"/>
              </w:rPr>
              <w:t>自动</w:t>
            </w:r>
            <w:r>
              <w:t>保存在切换报告中；（投标时提供功能截图）</w:t>
            </w:r>
          </w:p>
        </w:tc>
      </w:tr>
      <w:tr w14:paraId="0149FA9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2" w:hRule="atLeast"/>
        </w:trPr>
        <w:tc>
          <w:tcPr>
            <w:tcW w:w="456" w:type="pct"/>
            <w:vMerge w:val="continue"/>
          </w:tcPr>
          <w:p w14:paraId="50546BE6"/>
        </w:tc>
        <w:tc>
          <w:tcPr>
            <w:tcW w:w="680" w:type="pct"/>
            <w:vMerge w:val="continue"/>
            <w:tcMar>
              <w:top w:w="28" w:type="dxa"/>
              <w:bottom w:w="28" w:type="dxa"/>
            </w:tcMar>
            <w:vAlign w:val="center"/>
          </w:tcPr>
          <w:p w14:paraId="25950A5F"/>
        </w:tc>
        <w:tc>
          <w:tcPr>
            <w:tcW w:w="3864" w:type="pct"/>
            <w:tcMar>
              <w:top w:w="28" w:type="dxa"/>
              <w:bottom w:w="28" w:type="dxa"/>
            </w:tcMar>
          </w:tcPr>
          <w:p w14:paraId="2AEDEC44">
            <w:r>
              <w:t>提供安全授权认证机制，为具体预案指定已认证的授权人，提供基于安全授权码的二次验证能力，确保操作安全性；（投标时提供功能截图）</w:t>
            </w:r>
          </w:p>
        </w:tc>
      </w:tr>
      <w:tr w14:paraId="152579C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2" w:hRule="atLeast"/>
        </w:trPr>
        <w:tc>
          <w:tcPr>
            <w:tcW w:w="456" w:type="pct"/>
            <w:vMerge w:val="continue"/>
          </w:tcPr>
          <w:p w14:paraId="18ED968A"/>
        </w:tc>
        <w:tc>
          <w:tcPr>
            <w:tcW w:w="680" w:type="pct"/>
            <w:vMerge w:val="continue"/>
            <w:tcMar>
              <w:top w:w="28" w:type="dxa"/>
              <w:bottom w:w="28" w:type="dxa"/>
            </w:tcMar>
            <w:vAlign w:val="center"/>
          </w:tcPr>
          <w:p w14:paraId="23B2635C"/>
        </w:tc>
        <w:tc>
          <w:tcPr>
            <w:tcW w:w="3864" w:type="pct"/>
            <w:tcMar>
              <w:top w:w="28" w:type="dxa"/>
              <w:bottom w:w="28" w:type="dxa"/>
            </w:tcMar>
          </w:tcPr>
          <w:p w14:paraId="0C50B031">
            <w:r>
              <w:t>支持切换</w:t>
            </w:r>
            <w:r>
              <w:rPr>
                <w:lang w:eastAsia="zh-Hans"/>
              </w:rPr>
              <w:t>过程中自动获取数据库日志，便于快速定位问题</w:t>
            </w:r>
            <w:r>
              <w:t>；</w:t>
            </w:r>
          </w:p>
        </w:tc>
      </w:tr>
      <w:tr w14:paraId="5B835AA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92" w:hRule="atLeast"/>
        </w:trPr>
        <w:tc>
          <w:tcPr>
            <w:tcW w:w="456" w:type="pct"/>
            <w:vMerge w:val="continue"/>
          </w:tcPr>
          <w:p w14:paraId="513CA4A7"/>
        </w:tc>
        <w:tc>
          <w:tcPr>
            <w:tcW w:w="680" w:type="pct"/>
            <w:tcMar>
              <w:top w:w="28" w:type="dxa"/>
              <w:bottom w:w="28" w:type="dxa"/>
            </w:tcMar>
            <w:vAlign w:val="center"/>
          </w:tcPr>
          <w:p w14:paraId="50AB0774">
            <w:r>
              <w:t>工具箱</w:t>
            </w:r>
          </w:p>
        </w:tc>
        <w:tc>
          <w:tcPr>
            <w:tcW w:w="3864" w:type="pct"/>
            <w:tcMar>
              <w:top w:w="28" w:type="dxa"/>
              <w:bottom w:w="28" w:type="dxa"/>
            </w:tcMar>
          </w:tcPr>
          <w:p w14:paraId="5E645E99">
            <w:r>
              <w:t>内置自动化部署、容灾关系诊断、文件分发、网络诊断、RPA机器人、作业中心等灾备运维工具箱；（投标时提供功能截图）</w:t>
            </w:r>
          </w:p>
        </w:tc>
      </w:tr>
      <w:tr w14:paraId="78A1736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0" w:hRule="atLeast"/>
        </w:trPr>
        <w:tc>
          <w:tcPr>
            <w:tcW w:w="456" w:type="pct"/>
            <w:vMerge w:val="continue"/>
          </w:tcPr>
          <w:p w14:paraId="419925D8"/>
        </w:tc>
        <w:tc>
          <w:tcPr>
            <w:tcW w:w="680" w:type="pct"/>
            <w:tcMar>
              <w:top w:w="28" w:type="dxa"/>
              <w:bottom w:w="28" w:type="dxa"/>
            </w:tcMar>
            <w:vAlign w:val="center"/>
          </w:tcPr>
          <w:p w14:paraId="791D6B06">
            <w:r>
              <w:t>知识库</w:t>
            </w:r>
          </w:p>
        </w:tc>
        <w:tc>
          <w:tcPr>
            <w:tcW w:w="3864" w:type="pct"/>
            <w:tcMar>
              <w:top w:w="28" w:type="dxa"/>
              <w:bottom w:w="28" w:type="dxa"/>
            </w:tcMar>
            <w:vAlign w:val="center"/>
          </w:tcPr>
          <w:p w14:paraId="6DECEF3F">
            <w:r>
              <w:t>内置行业管理制度、政策法规、行业预案、脚本库等知识库；</w:t>
            </w:r>
          </w:p>
        </w:tc>
      </w:tr>
      <w:tr w14:paraId="64D95A9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3" w:hRule="atLeast"/>
        </w:trPr>
        <w:tc>
          <w:tcPr>
            <w:tcW w:w="5000" w:type="pct"/>
            <w:gridSpan w:val="3"/>
            <w:tcBorders>
              <w:bottom w:val="single" w:color="auto" w:sz="2" w:space="0"/>
            </w:tcBorders>
          </w:tcPr>
          <w:p w14:paraId="165533A0">
            <w:r>
              <w:t>数据备份模块NgBackup</w:t>
            </w:r>
          </w:p>
        </w:tc>
      </w:tr>
      <w:tr w14:paraId="2BDB21D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456" w:type="pct"/>
            <w:vMerge w:val="restart"/>
            <w:vAlign w:val="center"/>
          </w:tcPr>
          <w:p w14:paraId="00DF1F1B">
            <w:r>
              <w:t>产品功能</w:t>
            </w:r>
          </w:p>
        </w:tc>
        <w:tc>
          <w:tcPr>
            <w:tcW w:w="680" w:type="pct"/>
            <w:tcBorders>
              <w:bottom w:val="single" w:color="auto" w:sz="2" w:space="0"/>
            </w:tcBorders>
            <w:tcMar>
              <w:top w:w="28" w:type="dxa"/>
              <w:bottom w:w="28" w:type="dxa"/>
            </w:tcMar>
            <w:vAlign w:val="center"/>
          </w:tcPr>
          <w:p w14:paraId="497EEE46">
            <w:r>
              <w:t>部署方式</w:t>
            </w:r>
          </w:p>
        </w:tc>
        <w:tc>
          <w:tcPr>
            <w:tcW w:w="3864" w:type="pct"/>
            <w:tcBorders>
              <w:bottom w:val="single" w:color="auto" w:sz="2" w:space="0"/>
            </w:tcBorders>
            <w:tcMar>
              <w:top w:w="28" w:type="dxa"/>
              <w:bottom w:w="28" w:type="dxa"/>
            </w:tcMar>
            <w:vAlign w:val="center"/>
          </w:tcPr>
          <w:p w14:paraId="7B3B2F7A">
            <w:r>
              <w:t>支持单机、集群部署模式；</w:t>
            </w:r>
          </w:p>
        </w:tc>
      </w:tr>
      <w:tr w14:paraId="728CBD7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456" w:type="pct"/>
            <w:vMerge w:val="continue"/>
          </w:tcPr>
          <w:p w14:paraId="30A13C5F"/>
        </w:tc>
        <w:tc>
          <w:tcPr>
            <w:tcW w:w="680" w:type="pct"/>
            <w:tcBorders>
              <w:bottom w:val="single" w:color="auto" w:sz="2" w:space="0"/>
            </w:tcBorders>
            <w:tcMar>
              <w:top w:w="28" w:type="dxa"/>
              <w:bottom w:w="28" w:type="dxa"/>
            </w:tcMar>
            <w:vAlign w:val="center"/>
          </w:tcPr>
          <w:p w14:paraId="5AEA0F77">
            <w:r>
              <w:t>资源管理</w:t>
            </w:r>
          </w:p>
        </w:tc>
        <w:tc>
          <w:tcPr>
            <w:tcW w:w="3864" w:type="pct"/>
            <w:tcBorders>
              <w:bottom w:val="single" w:color="auto" w:sz="2" w:space="0"/>
            </w:tcBorders>
            <w:tcMar>
              <w:top w:w="28" w:type="dxa"/>
              <w:bottom w:w="28" w:type="dxa"/>
            </w:tcMar>
            <w:vAlign w:val="center"/>
          </w:tcPr>
          <w:p w14:paraId="3902D741">
            <w:r>
              <w:t>支持多节点在线扩展功能，可对所有节点进行集中统一管理，同时提供存储扩展、管理功能，可扩展的存储类型包括本地磁盘、分区、LVM、FC、iSCSI、NFS、CIFS等；</w:t>
            </w:r>
          </w:p>
        </w:tc>
      </w:tr>
      <w:tr w14:paraId="4B23CBD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456" w:type="pct"/>
            <w:vMerge w:val="continue"/>
          </w:tcPr>
          <w:p w14:paraId="74F9428A"/>
        </w:tc>
        <w:tc>
          <w:tcPr>
            <w:tcW w:w="680" w:type="pct"/>
            <w:vMerge w:val="restart"/>
            <w:tcMar>
              <w:top w:w="28" w:type="dxa"/>
              <w:bottom w:w="28" w:type="dxa"/>
            </w:tcMar>
            <w:vAlign w:val="center"/>
          </w:tcPr>
          <w:p w14:paraId="1790918A">
            <w:r>
              <w:t>对象适配</w:t>
            </w:r>
          </w:p>
        </w:tc>
        <w:tc>
          <w:tcPr>
            <w:tcW w:w="3864" w:type="pct"/>
            <w:tcBorders>
              <w:bottom w:val="single" w:color="auto" w:sz="2" w:space="0"/>
            </w:tcBorders>
            <w:tcMar>
              <w:top w:w="28" w:type="dxa"/>
              <w:bottom w:w="28" w:type="dxa"/>
            </w:tcMar>
            <w:vAlign w:val="center"/>
          </w:tcPr>
          <w:p w14:paraId="450B0338">
            <w:r>
              <w:t>支持基于飞腾、龙芯等国产平台上的文件、操作系统的备份与恢复功能；</w:t>
            </w:r>
          </w:p>
        </w:tc>
      </w:tr>
      <w:tr w14:paraId="2F8D7C4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456" w:type="pct"/>
            <w:vMerge w:val="continue"/>
          </w:tcPr>
          <w:p w14:paraId="354FEA47"/>
        </w:tc>
        <w:tc>
          <w:tcPr>
            <w:tcW w:w="680" w:type="pct"/>
            <w:vMerge w:val="continue"/>
            <w:tcMar>
              <w:top w:w="28" w:type="dxa"/>
              <w:bottom w:w="28" w:type="dxa"/>
            </w:tcMar>
            <w:vAlign w:val="center"/>
          </w:tcPr>
          <w:p w14:paraId="01877942"/>
        </w:tc>
        <w:tc>
          <w:tcPr>
            <w:tcW w:w="3864" w:type="pct"/>
            <w:tcBorders>
              <w:bottom w:val="single" w:color="auto" w:sz="2" w:space="0"/>
            </w:tcBorders>
            <w:tcMar>
              <w:top w:w="28" w:type="dxa"/>
              <w:bottom w:w="28" w:type="dxa"/>
            </w:tcMar>
            <w:vAlign w:val="center"/>
          </w:tcPr>
          <w:p w14:paraId="4314EB59">
            <w:r>
              <w:t>支持基于Windows、Ubuntu、Redhat、Centos、Oracle Linux、suse、openEuler、麒麟 kylin、统信UOS、FusionOS、AnolisOS等各类操作系统的各个版本的备份和恢复功能；</w:t>
            </w:r>
          </w:p>
        </w:tc>
      </w:tr>
      <w:tr w14:paraId="1572234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456" w:type="pct"/>
            <w:vMerge w:val="continue"/>
          </w:tcPr>
          <w:p w14:paraId="1084613A"/>
        </w:tc>
        <w:tc>
          <w:tcPr>
            <w:tcW w:w="680" w:type="pct"/>
            <w:vMerge w:val="continue"/>
            <w:tcBorders>
              <w:bottom w:val="single" w:color="auto" w:sz="2" w:space="0"/>
            </w:tcBorders>
            <w:tcMar>
              <w:top w:w="28" w:type="dxa"/>
              <w:bottom w:w="28" w:type="dxa"/>
            </w:tcMar>
            <w:vAlign w:val="center"/>
          </w:tcPr>
          <w:p w14:paraId="75C8A10C"/>
        </w:tc>
        <w:tc>
          <w:tcPr>
            <w:tcW w:w="3864" w:type="pct"/>
            <w:tcBorders>
              <w:bottom w:val="single" w:color="auto" w:sz="2" w:space="0"/>
            </w:tcBorders>
            <w:tcMar>
              <w:top w:w="28" w:type="dxa"/>
              <w:bottom w:w="28" w:type="dxa"/>
            </w:tcMar>
            <w:vAlign w:val="center"/>
          </w:tcPr>
          <w:p w14:paraId="700A7EE5">
            <w:r>
              <w:t>支持对Oracle、SQL Server、MySQL、达梦、DB2、人大金仓、PostgreSQL、HANA等主流数据库备份与恢复功能；</w:t>
            </w:r>
          </w:p>
        </w:tc>
      </w:tr>
      <w:tr w14:paraId="112196C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456" w:type="pct"/>
            <w:vMerge w:val="continue"/>
          </w:tcPr>
          <w:p w14:paraId="70EFB270"/>
        </w:tc>
        <w:tc>
          <w:tcPr>
            <w:tcW w:w="680" w:type="pct"/>
            <w:vMerge w:val="restart"/>
            <w:tcMar>
              <w:top w:w="28" w:type="dxa"/>
              <w:bottom w:w="28" w:type="dxa"/>
            </w:tcMar>
            <w:vAlign w:val="center"/>
          </w:tcPr>
          <w:p w14:paraId="45259129">
            <w:r>
              <w:t>备份模式</w:t>
            </w:r>
          </w:p>
        </w:tc>
        <w:tc>
          <w:tcPr>
            <w:tcW w:w="3864" w:type="pct"/>
            <w:tcBorders>
              <w:bottom w:val="single" w:color="auto" w:sz="2" w:space="0"/>
            </w:tcBorders>
            <w:tcMar>
              <w:top w:w="28" w:type="dxa"/>
              <w:bottom w:w="28" w:type="dxa"/>
            </w:tcMar>
            <w:vAlign w:val="center"/>
          </w:tcPr>
          <w:p w14:paraId="2DCB4E5B">
            <w:r>
              <w:t>支持备份任务创建配置过程中全部采用图形化向导式完成，无需编写任何的脚本；</w:t>
            </w:r>
          </w:p>
        </w:tc>
      </w:tr>
      <w:tr w14:paraId="3C98731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456" w:type="pct"/>
            <w:vMerge w:val="continue"/>
          </w:tcPr>
          <w:p w14:paraId="1A9D4429"/>
        </w:tc>
        <w:tc>
          <w:tcPr>
            <w:tcW w:w="680" w:type="pct"/>
            <w:vMerge w:val="continue"/>
            <w:tcMar>
              <w:top w:w="28" w:type="dxa"/>
              <w:bottom w:w="28" w:type="dxa"/>
            </w:tcMar>
            <w:vAlign w:val="center"/>
          </w:tcPr>
          <w:p w14:paraId="719EDA45"/>
        </w:tc>
        <w:tc>
          <w:tcPr>
            <w:tcW w:w="3864" w:type="pct"/>
            <w:tcBorders>
              <w:bottom w:val="single" w:color="auto" w:sz="2" w:space="0"/>
            </w:tcBorders>
            <w:tcMar>
              <w:top w:w="28" w:type="dxa"/>
              <w:bottom w:w="28" w:type="dxa"/>
            </w:tcMar>
            <w:vAlign w:val="center"/>
          </w:tcPr>
          <w:p w14:paraId="70BF1F68">
            <w:r>
              <w:t>支持多个应用关联的虚拟机一致性组备份功能，保证数据时间点一致，同时支持多个非关联性虚拟机串行备份；</w:t>
            </w:r>
          </w:p>
        </w:tc>
      </w:tr>
      <w:tr w14:paraId="0A56A5D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456" w:type="pct"/>
            <w:vMerge w:val="continue"/>
          </w:tcPr>
          <w:p w14:paraId="116AC05A"/>
        </w:tc>
        <w:tc>
          <w:tcPr>
            <w:tcW w:w="680" w:type="pct"/>
            <w:vMerge w:val="continue"/>
            <w:tcMar>
              <w:top w:w="28" w:type="dxa"/>
              <w:bottom w:w="28" w:type="dxa"/>
            </w:tcMar>
            <w:vAlign w:val="center"/>
          </w:tcPr>
          <w:p w14:paraId="334E2B7B"/>
        </w:tc>
        <w:tc>
          <w:tcPr>
            <w:tcW w:w="3864" w:type="pct"/>
            <w:tcBorders>
              <w:bottom w:val="single" w:color="auto" w:sz="2" w:space="0"/>
            </w:tcBorders>
            <w:tcMar>
              <w:top w:w="28" w:type="dxa"/>
              <w:bottom w:w="28" w:type="dxa"/>
            </w:tcMar>
            <w:vAlign w:val="center"/>
          </w:tcPr>
          <w:p w14:paraId="79EB677F">
            <w:r>
              <w:t>支持对虚拟机深度有效数据提取功能，只备份已经写入的数据，对于虚拟机中无备份价值的数据（包含交换文件块、分区间隙等）无需再进行备份；</w:t>
            </w:r>
          </w:p>
        </w:tc>
      </w:tr>
      <w:tr w14:paraId="392C378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456" w:type="pct"/>
            <w:vMerge w:val="continue"/>
          </w:tcPr>
          <w:p w14:paraId="355B3B97"/>
        </w:tc>
        <w:tc>
          <w:tcPr>
            <w:tcW w:w="680" w:type="pct"/>
            <w:vMerge w:val="continue"/>
            <w:tcMar>
              <w:top w:w="28" w:type="dxa"/>
              <w:bottom w:w="28" w:type="dxa"/>
            </w:tcMar>
            <w:vAlign w:val="center"/>
          </w:tcPr>
          <w:p w14:paraId="55A9BD7E"/>
        </w:tc>
        <w:tc>
          <w:tcPr>
            <w:tcW w:w="3864" w:type="pct"/>
            <w:tcBorders>
              <w:bottom w:val="single" w:color="auto" w:sz="2" w:space="0"/>
            </w:tcBorders>
            <w:tcMar>
              <w:top w:w="28" w:type="dxa"/>
              <w:bottom w:w="28" w:type="dxa"/>
            </w:tcMar>
            <w:vAlign w:val="center"/>
          </w:tcPr>
          <w:p w14:paraId="3CC21CE8">
            <w:r>
              <w:t>支持自定义代理备份功能，可自适应感知前端应用主机，直接获取包含操作系统、应用、数据库等信息，实现快速数据备份；（投标时提供功能截图）</w:t>
            </w:r>
          </w:p>
        </w:tc>
      </w:tr>
      <w:tr w14:paraId="35AA8D4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456" w:type="pct"/>
            <w:vMerge w:val="continue"/>
          </w:tcPr>
          <w:p w14:paraId="57A4AC82"/>
        </w:tc>
        <w:tc>
          <w:tcPr>
            <w:tcW w:w="680" w:type="pct"/>
            <w:vMerge w:val="continue"/>
            <w:tcMar>
              <w:top w:w="28" w:type="dxa"/>
              <w:bottom w:w="28" w:type="dxa"/>
            </w:tcMar>
            <w:vAlign w:val="center"/>
          </w:tcPr>
          <w:p w14:paraId="3D31ADD8"/>
        </w:tc>
        <w:tc>
          <w:tcPr>
            <w:tcW w:w="3864" w:type="pct"/>
            <w:tcBorders>
              <w:bottom w:val="single" w:color="auto" w:sz="2" w:space="0"/>
            </w:tcBorders>
            <w:tcMar>
              <w:top w:w="28" w:type="dxa"/>
              <w:bottom w:w="28" w:type="dxa"/>
            </w:tcMar>
            <w:vAlign w:val="center"/>
          </w:tcPr>
          <w:p w14:paraId="3E1F9025">
            <w:r>
              <w:t>支持永久增量备份技术，初次备份对所有数据进行完全备份，之后只对新增加或改动过的数据做增量备份；</w:t>
            </w:r>
          </w:p>
        </w:tc>
      </w:tr>
      <w:tr w14:paraId="4111E73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76" w:hRule="atLeast"/>
        </w:trPr>
        <w:tc>
          <w:tcPr>
            <w:tcW w:w="456" w:type="pct"/>
            <w:vMerge w:val="continue"/>
          </w:tcPr>
          <w:p w14:paraId="10B1595E"/>
        </w:tc>
        <w:tc>
          <w:tcPr>
            <w:tcW w:w="680" w:type="pct"/>
            <w:vMerge w:val="continue"/>
            <w:tcBorders>
              <w:bottom w:val="single" w:color="auto" w:sz="2" w:space="0"/>
            </w:tcBorders>
            <w:tcMar>
              <w:top w:w="28" w:type="dxa"/>
              <w:bottom w:w="28" w:type="dxa"/>
            </w:tcMar>
            <w:vAlign w:val="center"/>
          </w:tcPr>
          <w:p w14:paraId="34E0A22D"/>
        </w:tc>
        <w:tc>
          <w:tcPr>
            <w:tcW w:w="3864" w:type="pct"/>
            <w:tcBorders>
              <w:bottom w:val="single" w:color="auto" w:sz="2" w:space="0"/>
            </w:tcBorders>
            <w:tcMar>
              <w:top w:w="28" w:type="dxa"/>
              <w:bottom w:w="28" w:type="dxa"/>
            </w:tcMar>
            <w:vAlign w:val="center"/>
          </w:tcPr>
          <w:p w14:paraId="45769B8A">
            <w:r>
              <w:t>支持备份数据的重复数据删除功能，不限制重删容量和客户端，能实现在所有备份数据中仅保存唯一一份相同数据；</w:t>
            </w:r>
          </w:p>
        </w:tc>
      </w:tr>
      <w:tr w14:paraId="4B7AF8F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456" w:type="pct"/>
            <w:vMerge w:val="continue"/>
          </w:tcPr>
          <w:p w14:paraId="4C1903DE"/>
        </w:tc>
        <w:tc>
          <w:tcPr>
            <w:tcW w:w="680" w:type="pct"/>
            <w:vMerge w:val="restart"/>
            <w:tcMar>
              <w:top w:w="28" w:type="dxa"/>
              <w:bottom w:w="28" w:type="dxa"/>
            </w:tcMar>
            <w:vAlign w:val="center"/>
          </w:tcPr>
          <w:p w14:paraId="6D211B82">
            <w:r>
              <w:t>无代理备份</w:t>
            </w:r>
          </w:p>
        </w:tc>
        <w:tc>
          <w:tcPr>
            <w:tcW w:w="3864" w:type="pct"/>
            <w:tcBorders>
              <w:bottom w:val="single" w:color="auto" w:sz="2" w:space="0"/>
            </w:tcBorders>
            <w:tcMar>
              <w:top w:w="28" w:type="dxa"/>
              <w:bottom w:w="28" w:type="dxa"/>
            </w:tcMar>
            <w:vAlign w:val="center"/>
          </w:tcPr>
          <w:p w14:paraId="7808F014">
            <w:r>
              <w:t>支持主流虚拟化平台无代理备份，包括VMware、 Hyper-V、华三（H3C）、深信服（HCI）、Huawei FusionCompute、EVEREST、红帽（RHV/oVirt）、SmartX、OpenStack、ZStack云平台、青云QingCloud、云宏CNware、宝德Cloud等虚拟化平台的无代理备份，支持完全、块级增量等备份类型。无需在虚拟主机上安装任何客户端代理，直接通过访问Hypervisor层，实现虚拟主机整机备份；</w:t>
            </w:r>
          </w:p>
        </w:tc>
      </w:tr>
      <w:tr w14:paraId="018F5A1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456" w:type="pct"/>
            <w:vMerge w:val="continue"/>
          </w:tcPr>
          <w:p w14:paraId="05A347C6"/>
        </w:tc>
        <w:tc>
          <w:tcPr>
            <w:tcW w:w="680" w:type="pct"/>
            <w:vMerge w:val="continue"/>
            <w:tcBorders>
              <w:bottom w:val="single" w:color="auto" w:sz="2" w:space="0"/>
            </w:tcBorders>
            <w:tcMar>
              <w:top w:w="28" w:type="dxa"/>
              <w:bottom w:w="28" w:type="dxa"/>
            </w:tcMar>
            <w:vAlign w:val="center"/>
          </w:tcPr>
          <w:p w14:paraId="22163885"/>
        </w:tc>
        <w:tc>
          <w:tcPr>
            <w:tcW w:w="3864" w:type="pct"/>
            <w:tcBorders>
              <w:bottom w:val="single" w:color="auto" w:sz="2" w:space="0"/>
            </w:tcBorders>
            <w:tcMar>
              <w:top w:w="28" w:type="dxa"/>
              <w:bottom w:w="28" w:type="dxa"/>
            </w:tcMar>
            <w:vAlign w:val="center"/>
          </w:tcPr>
          <w:p w14:paraId="34A3A591">
            <w:r>
              <w:t>支持对CIFS和NFS协议的网络附加存储设备（NAS）提供无代理备份和恢复功能，支持主流的NAS供应商，包括EMC、NetApp、Huawei、IBM、HP、Hitachi、DELL等品牌NAS产品；</w:t>
            </w:r>
          </w:p>
        </w:tc>
      </w:tr>
      <w:tr w14:paraId="2A3B553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456" w:type="pct"/>
            <w:vMerge w:val="continue"/>
          </w:tcPr>
          <w:p w14:paraId="14B9250C"/>
        </w:tc>
        <w:tc>
          <w:tcPr>
            <w:tcW w:w="680" w:type="pct"/>
            <w:tcBorders>
              <w:bottom w:val="single" w:color="auto" w:sz="2" w:space="0"/>
            </w:tcBorders>
            <w:tcMar>
              <w:top w:w="28" w:type="dxa"/>
              <w:bottom w:w="28" w:type="dxa"/>
            </w:tcMar>
            <w:vAlign w:val="center"/>
          </w:tcPr>
          <w:p w14:paraId="13616FDB">
            <w:r>
              <w:t>离线备份</w:t>
            </w:r>
          </w:p>
        </w:tc>
        <w:tc>
          <w:tcPr>
            <w:tcW w:w="3864" w:type="pct"/>
            <w:tcBorders>
              <w:bottom w:val="single" w:color="auto" w:sz="2" w:space="0"/>
            </w:tcBorders>
            <w:tcMar>
              <w:top w:w="28" w:type="dxa"/>
              <w:bottom w:w="28" w:type="dxa"/>
            </w:tcMar>
            <w:vAlign w:val="center"/>
          </w:tcPr>
          <w:p w14:paraId="12D90F85">
            <w:r>
              <w:t>支持主流磁带机、磁带库、虚拟带库设备，可自动识别STK/SONY/ADIC/IBM/HP/SPECTRA等主流品牌设备，将备份数据再次进行数据归档到磁带库或磁带机设备上，实现离线备份；（投标时提供功能截图）</w:t>
            </w:r>
          </w:p>
        </w:tc>
      </w:tr>
      <w:tr w14:paraId="3B38204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456" w:type="pct"/>
            <w:vMerge w:val="continue"/>
          </w:tcPr>
          <w:p w14:paraId="50966C01"/>
        </w:tc>
        <w:tc>
          <w:tcPr>
            <w:tcW w:w="680" w:type="pct"/>
            <w:tcBorders>
              <w:bottom w:val="single" w:color="auto" w:sz="2" w:space="0"/>
            </w:tcBorders>
            <w:tcMar>
              <w:top w:w="28" w:type="dxa"/>
              <w:bottom w:w="28" w:type="dxa"/>
            </w:tcMar>
            <w:vAlign w:val="center"/>
          </w:tcPr>
          <w:p w14:paraId="728935D8">
            <w:r>
              <w:t>海量文件备份</w:t>
            </w:r>
          </w:p>
        </w:tc>
        <w:tc>
          <w:tcPr>
            <w:tcW w:w="3864" w:type="pct"/>
            <w:tcBorders>
              <w:bottom w:val="single" w:color="auto" w:sz="2" w:space="0"/>
            </w:tcBorders>
            <w:tcMar>
              <w:top w:w="28" w:type="dxa"/>
              <w:bottom w:w="28" w:type="dxa"/>
            </w:tcMar>
            <w:vAlign w:val="center"/>
          </w:tcPr>
          <w:p w14:paraId="627795D9">
            <w:r>
              <w:t>支持整盘、分区、单文件、目录级别的细粒度备份。支持Windows、Linux等文件系统磁盘、分区备份功能，以整盘或分区为单位进行数据备份，支持备份百万级、千万级，甚至亿万级小文件的文件系统，在文件级备份之外，提供对文件系统进行逻辑卷块级备份；</w:t>
            </w:r>
          </w:p>
        </w:tc>
      </w:tr>
      <w:tr w14:paraId="64336B0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456" w:type="pct"/>
            <w:vMerge w:val="continue"/>
          </w:tcPr>
          <w:p w14:paraId="335112D0"/>
        </w:tc>
        <w:tc>
          <w:tcPr>
            <w:tcW w:w="680" w:type="pct"/>
            <w:tcBorders>
              <w:bottom w:val="single" w:color="auto" w:sz="2" w:space="0"/>
            </w:tcBorders>
            <w:tcMar>
              <w:top w:w="28" w:type="dxa"/>
              <w:bottom w:w="28" w:type="dxa"/>
            </w:tcMar>
            <w:vAlign w:val="center"/>
          </w:tcPr>
          <w:p w14:paraId="101D4451">
            <w:r>
              <w:t>坏块检测</w:t>
            </w:r>
          </w:p>
        </w:tc>
        <w:tc>
          <w:tcPr>
            <w:tcW w:w="3864" w:type="pct"/>
            <w:tcBorders>
              <w:bottom w:val="single" w:color="auto" w:sz="2" w:space="0"/>
            </w:tcBorders>
            <w:tcMar>
              <w:top w:w="28" w:type="dxa"/>
              <w:bottom w:w="28" w:type="dxa"/>
            </w:tcMar>
            <w:vAlign w:val="center"/>
          </w:tcPr>
          <w:p w14:paraId="0DF70092">
            <w:r>
              <w:t>支持Oracle、SQL Server等主流数据库备份坏块检查、预警机制。数据库备份过程中，支持针对数据库数据文件逻辑和物理坏块的检测，支持将坏块日志信息告警通知；（投标时提供功能截图）</w:t>
            </w:r>
          </w:p>
        </w:tc>
      </w:tr>
      <w:tr w14:paraId="0F6735F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456" w:type="pct"/>
            <w:vMerge w:val="continue"/>
          </w:tcPr>
          <w:p w14:paraId="3E7D2022"/>
        </w:tc>
        <w:tc>
          <w:tcPr>
            <w:tcW w:w="680" w:type="pct"/>
            <w:tcBorders>
              <w:bottom w:val="single" w:color="auto" w:sz="2" w:space="0"/>
            </w:tcBorders>
            <w:tcMar>
              <w:top w:w="28" w:type="dxa"/>
              <w:bottom w:w="28" w:type="dxa"/>
            </w:tcMar>
            <w:vAlign w:val="center"/>
          </w:tcPr>
          <w:p w14:paraId="2261AA3F">
            <w:r>
              <w:t>远程备份</w:t>
            </w:r>
          </w:p>
        </w:tc>
        <w:tc>
          <w:tcPr>
            <w:tcW w:w="3864" w:type="pct"/>
            <w:tcBorders>
              <w:bottom w:val="single" w:color="auto" w:sz="2" w:space="0"/>
            </w:tcBorders>
            <w:tcMar>
              <w:top w:w="28" w:type="dxa"/>
              <w:bottom w:w="28" w:type="dxa"/>
            </w:tcMar>
            <w:vAlign w:val="center"/>
          </w:tcPr>
          <w:p w14:paraId="72EB4687">
            <w:r>
              <w:t>支持本地、异地远程备份，支持将本地备份数据在24小时内任意时间向异地灾备中心进行数据同步，不限制复制容量和任务数，不影响本地、异地生产系统正常运行。支持通过异地备份数据进行恢复，同时支持指定带宽、限速、加密及压缩等多种传输策略；</w:t>
            </w:r>
          </w:p>
        </w:tc>
      </w:tr>
      <w:tr w14:paraId="7DF1FDE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456" w:type="pct"/>
            <w:vMerge w:val="continue"/>
          </w:tcPr>
          <w:p w14:paraId="7F638DAE"/>
        </w:tc>
        <w:tc>
          <w:tcPr>
            <w:tcW w:w="680" w:type="pct"/>
            <w:vMerge w:val="restart"/>
            <w:tcMar>
              <w:top w:w="28" w:type="dxa"/>
              <w:bottom w:w="28" w:type="dxa"/>
            </w:tcMar>
            <w:vAlign w:val="center"/>
          </w:tcPr>
          <w:p w14:paraId="33210C45">
            <w:r>
              <w:t>恢复模式</w:t>
            </w:r>
          </w:p>
        </w:tc>
        <w:tc>
          <w:tcPr>
            <w:tcW w:w="3864" w:type="pct"/>
            <w:tcBorders>
              <w:bottom w:val="single" w:color="auto" w:sz="2" w:space="0"/>
            </w:tcBorders>
            <w:tcMar>
              <w:top w:w="28" w:type="dxa"/>
              <w:bottom w:w="28" w:type="dxa"/>
            </w:tcMar>
            <w:vAlign w:val="center"/>
          </w:tcPr>
          <w:p w14:paraId="2AD328CB">
            <w:r>
              <w:t>支持操作系统裸机恢复，支持主流Linux/Window及国产平台的操作系统从裸机状态直接恢复操作系统，无需重新安装操作系统、驱动程序和应用软件；</w:t>
            </w:r>
          </w:p>
        </w:tc>
      </w:tr>
      <w:tr w14:paraId="6B0767B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456" w:type="pct"/>
            <w:vMerge w:val="continue"/>
          </w:tcPr>
          <w:p w14:paraId="0751F6E3"/>
        </w:tc>
        <w:tc>
          <w:tcPr>
            <w:tcW w:w="680" w:type="pct"/>
            <w:vMerge w:val="continue"/>
            <w:tcBorders>
              <w:bottom w:val="single" w:color="auto" w:sz="2" w:space="0"/>
            </w:tcBorders>
            <w:tcMar>
              <w:top w:w="28" w:type="dxa"/>
              <w:bottom w:w="28" w:type="dxa"/>
            </w:tcMar>
            <w:vAlign w:val="center"/>
          </w:tcPr>
          <w:p w14:paraId="709317B1"/>
        </w:tc>
        <w:tc>
          <w:tcPr>
            <w:tcW w:w="3864" w:type="pct"/>
            <w:tcBorders>
              <w:bottom w:val="single" w:color="auto" w:sz="2" w:space="0"/>
            </w:tcBorders>
            <w:tcMar>
              <w:top w:w="28" w:type="dxa"/>
              <w:bottom w:w="28" w:type="dxa"/>
            </w:tcMar>
            <w:vAlign w:val="center"/>
          </w:tcPr>
          <w:p w14:paraId="24C66406">
            <w:r>
              <w:t>支持文件、数据库、虚拟机等细粒度的异机恢复；</w:t>
            </w:r>
          </w:p>
        </w:tc>
      </w:tr>
      <w:tr w14:paraId="2104E13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456" w:type="pct"/>
            <w:vMerge w:val="continue"/>
          </w:tcPr>
          <w:p w14:paraId="5514EF76"/>
        </w:tc>
        <w:tc>
          <w:tcPr>
            <w:tcW w:w="680" w:type="pct"/>
            <w:tcBorders>
              <w:bottom w:val="single" w:color="auto" w:sz="2" w:space="0"/>
            </w:tcBorders>
            <w:tcMar>
              <w:top w:w="28" w:type="dxa"/>
              <w:bottom w:w="28" w:type="dxa"/>
            </w:tcMar>
            <w:vAlign w:val="center"/>
          </w:tcPr>
          <w:p w14:paraId="681E7174">
            <w:r>
              <w:t>细粒度恢复</w:t>
            </w:r>
          </w:p>
        </w:tc>
        <w:tc>
          <w:tcPr>
            <w:tcW w:w="3864" w:type="pct"/>
            <w:tcBorders>
              <w:bottom w:val="single" w:color="auto" w:sz="2" w:space="0"/>
            </w:tcBorders>
            <w:tcMar>
              <w:top w:w="28" w:type="dxa"/>
              <w:bottom w:w="28" w:type="dxa"/>
            </w:tcMar>
            <w:vAlign w:val="center"/>
          </w:tcPr>
          <w:p w14:paraId="0CC1355F">
            <w:r>
              <w:t>支持细粒度恢复功能，无需进行整机恢复，即可快速找回主机内某单一文件或文件夹，提升恢复效率；（投标时提供功能截图）</w:t>
            </w:r>
          </w:p>
        </w:tc>
      </w:tr>
      <w:tr w14:paraId="6C9228B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456" w:type="pct"/>
            <w:vMerge w:val="continue"/>
          </w:tcPr>
          <w:p w14:paraId="4BD74820"/>
        </w:tc>
        <w:tc>
          <w:tcPr>
            <w:tcW w:w="680" w:type="pct"/>
            <w:vMerge w:val="restart"/>
            <w:tcMar>
              <w:top w:w="28" w:type="dxa"/>
              <w:bottom w:w="28" w:type="dxa"/>
            </w:tcMar>
            <w:vAlign w:val="center"/>
          </w:tcPr>
          <w:p w14:paraId="2AAC6915">
            <w:r>
              <w:t>瞬时恢复</w:t>
            </w:r>
          </w:p>
        </w:tc>
        <w:tc>
          <w:tcPr>
            <w:tcW w:w="3864" w:type="pct"/>
            <w:tcBorders>
              <w:bottom w:val="single" w:color="auto" w:sz="2" w:space="0"/>
            </w:tcBorders>
            <w:tcMar>
              <w:top w:w="28" w:type="dxa"/>
              <w:bottom w:w="28" w:type="dxa"/>
            </w:tcMar>
            <w:vAlign w:val="center"/>
          </w:tcPr>
          <w:p w14:paraId="5704B480">
            <w:r>
              <w:t>支持虚拟机同平台及跨平台瞬时恢复，可支持同时启动多个时间点数据副本瞬时恢复至同平台或异构平台上；（投标时提供功能截图）</w:t>
            </w:r>
          </w:p>
        </w:tc>
      </w:tr>
      <w:tr w14:paraId="7B7D40F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456" w:type="pct"/>
            <w:vMerge w:val="continue"/>
          </w:tcPr>
          <w:p w14:paraId="7B861D12"/>
        </w:tc>
        <w:tc>
          <w:tcPr>
            <w:tcW w:w="680" w:type="pct"/>
            <w:vMerge w:val="continue"/>
            <w:tcBorders>
              <w:bottom w:val="single" w:color="auto" w:sz="2" w:space="0"/>
            </w:tcBorders>
            <w:tcMar>
              <w:top w:w="28" w:type="dxa"/>
              <w:bottom w:w="28" w:type="dxa"/>
            </w:tcMar>
            <w:vAlign w:val="center"/>
          </w:tcPr>
          <w:p w14:paraId="40B96E6D"/>
        </w:tc>
        <w:tc>
          <w:tcPr>
            <w:tcW w:w="3864" w:type="pct"/>
            <w:tcBorders>
              <w:bottom w:val="single" w:color="auto" w:sz="2" w:space="0"/>
            </w:tcBorders>
            <w:tcMar>
              <w:top w:w="28" w:type="dxa"/>
              <w:bottom w:w="28" w:type="dxa"/>
            </w:tcMar>
            <w:vAlign w:val="center"/>
          </w:tcPr>
          <w:p w14:paraId="23F2712D">
            <w:r>
              <w:t>支持对VMware、 Hyper-V、华三（H3C）、深信服（HCI）、FusionCompute、EVEREST、红帽（RHV/oVirt）、SmartX、OpenStack等主流虚拟化平台跨平台恢复，可跨平台迁移恢复至任意品牌虚拟化，同时支持直接挂载备份副本即可实现虚拟机的快速恢复；</w:t>
            </w:r>
          </w:p>
        </w:tc>
      </w:tr>
      <w:tr w14:paraId="0111AC4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456" w:type="pct"/>
            <w:vMerge w:val="continue"/>
          </w:tcPr>
          <w:p w14:paraId="00D1B3BC"/>
        </w:tc>
        <w:tc>
          <w:tcPr>
            <w:tcW w:w="680" w:type="pct"/>
            <w:vMerge w:val="restart"/>
            <w:tcMar>
              <w:top w:w="28" w:type="dxa"/>
              <w:bottom w:w="28" w:type="dxa"/>
            </w:tcMar>
            <w:vAlign w:val="center"/>
          </w:tcPr>
          <w:p w14:paraId="2534744F">
            <w:r>
              <w:t>数据安全</w:t>
            </w:r>
          </w:p>
        </w:tc>
        <w:tc>
          <w:tcPr>
            <w:tcW w:w="3864" w:type="pct"/>
            <w:tcBorders>
              <w:bottom w:val="single" w:color="auto" w:sz="2" w:space="0"/>
            </w:tcBorders>
            <w:tcMar>
              <w:top w:w="28" w:type="dxa"/>
              <w:bottom w:w="28" w:type="dxa"/>
            </w:tcMar>
            <w:vAlign w:val="center"/>
          </w:tcPr>
          <w:p w14:paraId="045E39D8">
            <w:r>
              <w:t>支持对备份数据进行加密传输和存储，提供AES256、SM4等多种加密类型。支持在客户端加密后传送给备份设备；</w:t>
            </w:r>
          </w:p>
        </w:tc>
      </w:tr>
      <w:tr w14:paraId="453C818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456" w:type="pct"/>
            <w:vMerge w:val="continue"/>
            <w:tcBorders>
              <w:bottom w:val="single" w:color="auto" w:sz="2" w:space="0"/>
            </w:tcBorders>
          </w:tcPr>
          <w:p w14:paraId="2F97035B"/>
        </w:tc>
        <w:tc>
          <w:tcPr>
            <w:tcW w:w="680" w:type="pct"/>
            <w:vMerge w:val="continue"/>
            <w:tcBorders>
              <w:bottom w:val="single" w:color="auto" w:sz="2" w:space="0"/>
            </w:tcBorders>
            <w:tcMar>
              <w:top w:w="28" w:type="dxa"/>
              <w:bottom w:w="28" w:type="dxa"/>
            </w:tcMar>
            <w:vAlign w:val="center"/>
          </w:tcPr>
          <w:p w14:paraId="20416BA4"/>
        </w:tc>
        <w:tc>
          <w:tcPr>
            <w:tcW w:w="3864" w:type="pct"/>
            <w:tcBorders>
              <w:bottom w:val="single" w:color="auto" w:sz="2" w:space="0"/>
            </w:tcBorders>
            <w:tcMar>
              <w:top w:w="28" w:type="dxa"/>
              <w:bottom w:w="28" w:type="dxa"/>
            </w:tcMar>
            <w:vAlign w:val="center"/>
          </w:tcPr>
          <w:p w14:paraId="5381DBC9">
            <w:r>
              <w:t>支持提供自定义安全备份模式，可根据实际业务需求提供多种可选安全模式，将备份数据与生产网络完全隔离，形成不可被攻击的数据副本。可以有效防止备份数据被篡改、加密或恶意删除；（投标时提供功能截图）</w:t>
            </w:r>
          </w:p>
        </w:tc>
      </w:tr>
    </w:tbl>
    <w:p w14:paraId="093CBFA8"/>
    <w:p w14:paraId="3E1425F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14C5"/>
    <w:rsid w:val="00000AD5"/>
    <w:rsid w:val="000014E5"/>
    <w:rsid w:val="00021837"/>
    <w:rsid w:val="00045740"/>
    <w:rsid w:val="00094673"/>
    <w:rsid w:val="000A3E3B"/>
    <w:rsid w:val="000E42FF"/>
    <w:rsid w:val="001A4CE7"/>
    <w:rsid w:val="001F0D3A"/>
    <w:rsid w:val="00222034"/>
    <w:rsid w:val="002B6F52"/>
    <w:rsid w:val="002C1362"/>
    <w:rsid w:val="002C7CD3"/>
    <w:rsid w:val="002F550C"/>
    <w:rsid w:val="00360C5F"/>
    <w:rsid w:val="00385B94"/>
    <w:rsid w:val="003F2C82"/>
    <w:rsid w:val="004558BA"/>
    <w:rsid w:val="004A4EE6"/>
    <w:rsid w:val="004D2998"/>
    <w:rsid w:val="004F15DD"/>
    <w:rsid w:val="004F38D3"/>
    <w:rsid w:val="005015BA"/>
    <w:rsid w:val="0053578B"/>
    <w:rsid w:val="005D5BC3"/>
    <w:rsid w:val="00654B7E"/>
    <w:rsid w:val="0067463A"/>
    <w:rsid w:val="006779D1"/>
    <w:rsid w:val="006841C8"/>
    <w:rsid w:val="006E58CD"/>
    <w:rsid w:val="00710970"/>
    <w:rsid w:val="00710DCE"/>
    <w:rsid w:val="00731DF6"/>
    <w:rsid w:val="007E43A7"/>
    <w:rsid w:val="00804D3A"/>
    <w:rsid w:val="0081130F"/>
    <w:rsid w:val="00835DDD"/>
    <w:rsid w:val="0089278F"/>
    <w:rsid w:val="008F1256"/>
    <w:rsid w:val="0093200D"/>
    <w:rsid w:val="00977EE1"/>
    <w:rsid w:val="00991C3E"/>
    <w:rsid w:val="009C2200"/>
    <w:rsid w:val="00A40C25"/>
    <w:rsid w:val="00AC4057"/>
    <w:rsid w:val="00AC50AC"/>
    <w:rsid w:val="00B66AF2"/>
    <w:rsid w:val="00BC087C"/>
    <w:rsid w:val="00C65B46"/>
    <w:rsid w:val="00C77C10"/>
    <w:rsid w:val="00CC3A07"/>
    <w:rsid w:val="00CC55F6"/>
    <w:rsid w:val="00CF5442"/>
    <w:rsid w:val="00DD2CE0"/>
    <w:rsid w:val="00DF14C5"/>
    <w:rsid w:val="00E23342"/>
    <w:rsid w:val="00E8542E"/>
    <w:rsid w:val="00ED1974"/>
    <w:rsid w:val="00EF7824"/>
    <w:rsid w:val="00F21432"/>
    <w:rsid w:val="0B1D6B5E"/>
    <w:rsid w:val="1C737BF5"/>
    <w:rsid w:val="1DFB6B01"/>
    <w:rsid w:val="3373B3B0"/>
    <w:rsid w:val="38417B02"/>
    <w:rsid w:val="39522F81"/>
    <w:rsid w:val="563F1237"/>
    <w:rsid w:val="5EB87044"/>
    <w:rsid w:val="628801E0"/>
    <w:rsid w:val="62CD11F5"/>
    <w:rsid w:val="6941706F"/>
    <w:rsid w:val="6FDE559F"/>
    <w:rsid w:val="75FF27C6"/>
    <w:rsid w:val="BFB5999F"/>
    <w:rsid w:val="FA77A7D1"/>
    <w:rsid w:val="FDEF47CC"/>
    <w:rsid w:val="FF784CE6"/>
    <w:rsid w:val="FFA538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99"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qFormat="1" w:unhideWhenUsed="0" w:uiPriority="0" w:semiHidden="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qFormat/>
    <w:uiPriority w:val="9"/>
    <w:pPr>
      <w:keepNext/>
      <w:keepLines/>
      <w:spacing w:before="340" w:after="330" w:line="576" w:lineRule="auto"/>
      <w:outlineLvl w:val="0"/>
    </w:pPr>
    <w:rPr>
      <w:rFonts w:ascii="Times New Roman" w:hAnsi="Times New Roman" w:cs="Times New Roman"/>
      <w:b/>
      <w:bCs/>
      <w:kern w:val="44"/>
      <w:sz w:val="44"/>
      <w:szCs w:val="44"/>
    </w:rPr>
  </w:style>
  <w:style w:type="paragraph" w:styleId="3">
    <w:name w:val="heading 2"/>
    <w:basedOn w:val="1"/>
    <w:next w:val="1"/>
    <w:link w:val="23"/>
    <w:qFormat/>
    <w:uiPriority w:val="9"/>
    <w:pPr>
      <w:keepNext/>
      <w:keepLines/>
      <w:spacing w:before="260" w:after="260" w:line="416" w:lineRule="auto"/>
      <w:outlineLvl w:val="1"/>
    </w:pPr>
    <w:rPr>
      <w:rFonts w:ascii="Calibri Light" w:hAnsi="Calibri Light"/>
      <w:b/>
      <w:bCs/>
      <w:sz w:val="32"/>
      <w:szCs w:val="32"/>
    </w:rPr>
  </w:style>
  <w:style w:type="paragraph" w:styleId="4">
    <w:name w:val="heading 3"/>
    <w:basedOn w:val="1"/>
    <w:next w:val="1"/>
    <w:link w:val="24"/>
    <w:qFormat/>
    <w:uiPriority w:val="0"/>
    <w:pPr>
      <w:keepNext/>
      <w:keepLines/>
      <w:spacing w:before="260" w:after="260" w:line="416" w:lineRule="auto"/>
      <w:outlineLvl w:val="2"/>
    </w:pPr>
    <w:rPr>
      <w:b/>
      <w:bCs/>
      <w:sz w:val="32"/>
      <w:szCs w:val="32"/>
    </w:rPr>
  </w:style>
  <w:style w:type="character" w:default="1" w:styleId="15">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Document Map"/>
    <w:basedOn w:val="1"/>
    <w:link w:val="28"/>
    <w:qFormat/>
    <w:uiPriority w:val="0"/>
    <w:rPr>
      <w:sz w:val="18"/>
      <w:szCs w:val="18"/>
    </w:rPr>
  </w:style>
  <w:style w:type="paragraph" w:styleId="6">
    <w:name w:val="annotation text"/>
    <w:basedOn w:val="1"/>
    <w:link w:val="36"/>
    <w:qFormat/>
    <w:uiPriority w:val="99"/>
  </w:style>
  <w:style w:type="paragraph" w:styleId="7">
    <w:name w:val="Body Text Indent"/>
    <w:basedOn w:val="1"/>
    <w:link w:val="25"/>
    <w:qFormat/>
    <w:uiPriority w:val="0"/>
    <w:pPr>
      <w:spacing w:after="120"/>
      <w:ind w:left="420" w:leftChars="200"/>
    </w:pPr>
  </w:style>
  <w:style w:type="paragraph" w:styleId="8">
    <w:name w:val="footer"/>
    <w:basedOn w:val="1"/>
    <w:link w:val="20"/>
    <w:qFormat/>
    <w:uiPriority w:val="99"/>
    <w:pPr>
      <w:tabs>
        <w:tab w:val="center" w:pos="4153"/>
        <w:tab w:val="right" w:pos="8306"/>
      </w:tabs>
      <w:snapToGrid w:val="0"/>
    </w:pPr>
    <w:rPr>
      <w:sz w:val="18"/>
      <w:szCs w:val="18"/>
    </w:rPr>
  </w:style>
  <w:style w:type="paragraph" w:styleId="9">
    <w:name w:val="header"/>
    <w:basedOn w:val="1"/>
    <w:link w:val="19"/>
    <w:qFormat/>
    <w:uiPriority w:val="99"/>
    <w:pPr>
      <w:pBdr>
        <w:bottom w:val="single" w:color="auto" w:sz="6" w:space="1"/>
      </w:pBdr>
      <w:tabs>
        <w:tab w:val="center" w:pos="4153"/>
        <w:tab w:val="right" w:pos="8306"/>
      </w:tabs>
      <w:snapToGrid w:val="0"/>
      <w:jc w:val="center"/>
    </w:pPr>
    <w:rPr>
      <w:sz w:val="18"/>
      <w:szCs w:val="18"/>
    </w:rPr>
  </w:style>
  <w:style w:type="paragraph" w:styleId="10">
    <w:name w:val="Body Text Indent 3"/>
    <w:basedOn w:val="1"/>
    <w:qFormat/>
    <w:uiPriority w:val="99"/>
    <w:pPr>
      <w:autoSpaceDE w:val="0"/>
      <w:autoSpaceDN w:val="0"/>
      <w:spacing w:line="400" w:lineRule="atLeast"/>
      <w:ind w:firstLine="443" w:firstLineChars="200"/>
      <w:textAlignment w:val="bottom"/>
    </w:pPr>
    <w:rPr>
      <w:rFonts w:eastAsia="黑体"/>
      <w:color w:val="000000"/>
    </w:rPr>
  </w:style>
  <w:style w:type="paragraph" w:styleId="11">
    <w:name w:val="Body Text First Indent 2"/>
    <w:basedOn w:val="7"/>
    <w:link w:val="26"/>
    <w:qFormat/>
    <w:uiPriority w:val="0"/>
    <w:pPr>
      <w:ind w:firstLine="420" w:firstLineChars="200"/>
    </w:pPr>
  </w:style>
  <w:style w:type="table" w:styleId="13">
    <w:name w:val="Table Grid"/>
    <w:basedOn w:val="1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4">
    <w:name w:val="Table Elegant"/>
    <w:basedOn w:val="12"/>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character" w:styleId="16">
    <w:name w:val="annotation reference"/>
    <w:basedOn w:val="15"/>
    <w:unhideWhenUsed/>
    <w:qFormat/>
    <w:uiPriority w:val="99"/>
    <w:rPr>
      <w:sz w:val="21"/>
      <w:szCs w:val="21"/>
    </w:rPr>
  </w:style>
  <w:style w:type="paragraph" w:customStyle="1" w:styleId="17">
    <w:name w:val="样式1"/>
    <w:basedOn w:val="1"/>
    <w:qFormat/>
    <w:uiPriority w:val="0"/>
    <w:pPr>
      <w:spacing w:line="360" w:lineRule="exact"/>
      <w:ind w:firstLine="200" w:firstLineChars="200"/>
    </w:pPr>
  </w:style>
  <w:style w:type="paragraph" w:customStyle="1" w:styleId="18">
    <w:name w:val="_Style 2"/>
    <w:qFormat/>
    <w:uiPriority w:val="0"/>
    <w:pPr>
      <w:adjustRightInd w:val="0"/>
      <w:snapToGrid w:val="0"/>
    </w:pPr>
    <w:rPr>
      <w:rFonts w:ascii="Tahoma" w:hAnsi="Tahoma" w:eastAsia="微软雅黑" w:cs="Tahoma"/>
      <w:sz w:val="22"/>
      <w:szCs w:val="22"/>
      <w:lang w:val="en-US" w:eastAsia="zh-CN" w:bidi="ar-SA"/>
    </w:rPr>
  </w:style>
  <w:style w:type="character" w:customStyle="1" w:styleId="19">
    <w:name w:val="页眉 字符"/>
    <w:basedOn w:val="15"/>
    <w:link w:val="9"/>
    <w:qFormat/>
    <w:uiPriority w:val="99"/>
    <w:rPr>
      <w:rFonts w:ascii="Arial" w:hAnsi="Arial" w:cs="Arial"/>
      <w:kern w:val="2"/>
      <w:sz w:val="18"/>
      <w:szCs w:val="18"/>
    </w:rPr>
  </w:style>
  <w:style w:type="character" w:customStyle="1" w:styleId="20">
    <w:name w:val="页脚 字符"/>
    <w:basedOn w:val="15"/>
    <w:link w:val="8"/>
    <w:qFormat/>
    <w:uiPriority w:val="99"/>
    <w:rPr>
      <w:rFonts w:ascii="Arial" w:hAnsi="Arial" w:cs="Arial"/>
      <w:kern w:val="2"/>
      <w:sz w:val="18"/>
      <w:szCs w:val="18"/>
    </w:rPr>
  </w:style>
  <w:style w:type="paragraph" w:customStyle="1" w:styleId="21">
    <w:name w:val="列出段落1"/>
    <w:basedOn w:val="1"/>
    <w:qFormat/>
    <w:uiPriority w:val="34"/>
    <w:pPr>
      <w:ind w:firstLine="420" w:firstLineChars="200"/>
    </w:pPr>
    <w:rPr>
      <w:rFonts w:ascii="Calibri" w:hAnsi="Calibri" w:cs="Calibri"/>
      <w:szCs w:val="21"/>
    </w:rPr>
  </w:style>
  <w:style w:type="paragraph" w:styleId="22">
    <w:name w:val="List Paragraph"/>
    <w:basedOn w:val="1"/>
    <w:qFormat/>
    <w:uiPriority w:val="99"/>
    <w:pPr>
      <w:ind w:firstLine="420" w:firstLineChars="200"/>
    </w:pPr>
  </w:style>
  <w:style w:type="character" w:customStyle="1" w:styleId="23">
    <w:name w:val="标题 2 字符"/>
    <w:basedOn w:val="15"/>
    <w:link w:val="3"/>
    <w:qFormat/>
    <w:uiPriority w:val="0"/>
    <w:rPr>
      <w:rFonts w:ascii="Calibri Light" w:hAnsi="Calibri Light" w:eastAsia="宋体" w:cs="宋体"/>
      <w:b/>
      <w:bCs/>
      <w:kern w:val="2"/>
      <w:sz w:val="32"/>
      <w:szCs w:val="32"/>
    </w:rPr>
  </w:style>
  <w:style w:type="character" w:customStyle="1" w:styleId="24">
    <w:name w:val="标题 3 字符"/>
    <w:basedOn w:val="15"/>
    <w:link w:val="4"/>
    <w:qFormat/>
    <w:uiPriority w:val="0"/>
    <w:rPr>
      <w:rFonts w:ascii="Arial" w:hAnsi="Arial" w:cs="Arial"/>
      <w:b/>
      <w:bCs/>
      <w:kern w:val="2"/>
      <w:sz w:val="32"/>
      <w:szCs w:val="32"/>
    </w:rPr>
  </w:style>
  <w:style w:type="character" w:customStyle="1" w:styleId="25">
    <w:name w:val="正文文本缩进 字符"/>
    <w:basedOn w:val="15"/>
    <w:link w:val="7"/>
    <w:qFormat/>
    <w:uiPriority w:val="0"/>
    <w:rPr>
      <w:rFonts w:ascii="Arial" w:hAnsi="Arial" w:cs="Arial"/>
      <w:kern w:val="2"/>
      <w:sz w:val="21"/>
      <w:szCs w:val="24"/>
    </w:rPr>
  </w:style>
  <w:style w:type="character" w:customStyle="1" w:styleId="26">
    <w:name w:val="正文首行缩进 2 字符"/>
    <w:basedOn w:val="25"/>
    <w:link w:val="11"/>
    <w:qFormat/>
    <w:uiPriority w:val="0"/>
    <w:rPr>
      <w:rFonts w:ascii="Arial" w:hAnsi="Arial" w:cs="Arial"/>
      <w:kern w:val="2"/>
      <w:sz w:val="21"/>
      <w:szCs w:val="24"/>
    </w:rPr>
  </w:style>
  <w:style w:type="paragraph" w:customStyle="1" w:styleId="27">
    <w:name w:val="哈哈正文"/>
    <w:basedOn w:val="1"/>
    <w:qFormat/>
    <w:uiPriority w:val="0"/>
    <w:pPr>
      <w:ind w:firstLine="200" w:firstLineChars="200"/>
    </w:pPr>
    <w:rPr>
      <w:szCs w:val="20"/>
    </w:rPr>
  </w:style>
  <w:style w:type="character" w:customStyle="1" w:styleId="28">
    <w:name w:val="文档结构图 字符"/>
    <w:basedOn w:val="15"/>
    <w:link w:val="5"/>
    <w:qFormat/>
    <w:uiPriority w:val="0"/>
    <w:rPr>
      <w:rFonts w:ascii="宋体" w:hAnsi="Arial" w:cs="Arial"/>
      <w:kern w:val="2"/>
      <w:sz w:val="18"/>
      <w:szCs w:val="18"/>
    </w:rPr>
  </w:style>
  <w:style w:type="character" w:customStyle="1" w:styleId="29">
    <w:name w:val="font21"/>
    <w:qFormat/>
    <w:uiPriority w:val="0"/>
    <w:rPr>
      <w:rFonts w:hint="eastAsia" w:ascii="宋体" w:hAnsi="宋体" w:eastAsia="宋体" w:cs="宋体"/>
      <w:color w:val="000000"/>
      <w:sz w:val="24"/>
      <w:szCs w:val="24"/>
      <w:u w:val="none"/>
    </w:rPr>
  </w:style>
  <w:style w:type="character" w:customStyle="1" w:styleId="30">
    <w:name w:val="List Paragraph Char"/>
    <w:link w:val="31"/>
    <w:qFormat/>
    <w:locked/>
    <w:uiPriority w:val="34"/>
    <w:rPr>
      <w:rFonts w:ascii="宋体" w:hAnsi="宋体"/>
      <w:sz w:val="24"/>
      <w:szCs w:val="24"/>
    </w:rPr>
  </w:style>
  <w:style w:type="paragraph" w:customStyle="1" w:styleId="31">
    <w:name w:val="列出段落11"/>
    <w:link w:val="30"/>
    <w:qFormat/>
    <w:uiPriority w:val="34"/>
    <w:pPr>
      <w:widowControl w:val="0"/>
      <w:ind w:firstLine="420" w:firstLineChars="200"/>
      <w:jc w:val="both"/>
    </w:pPr>
    <w:rPr>
      <w:rFonts w:ascii="宋体" w:hAnsi="宋体" w:eastAsia="宋体" w:cs="Times New Roman"/>
      <w:sz w:val="24"/>
      <w:szCs w:val="24"/>
      <w:lang w:val="en-US" w:eastAsia="zh-CN" w:bidi="ar-SA"/>
    </w:rPr>
  </w:style>
  <w:style w:type="character" w:customStyle="1" w:styleId="32">
    <w:name w:val="md_line"/>
    <w:basedOn w:val="15"/>
    <w:qFormat/>
    <w:uiPriority w:val="0"/>
  </w:style>
  <w:style w:type="paragraph" w:customStyle="1" w:styleId="33">
    <w:name w:val="md_block"/>
    <w:basedOn w:val="1"/>
    <w:qFormat/>
    <w:uiPriority w:val="0"/>
    <w:pPr>
      <w:spacing w:before="100" w:beforeAutospacing="1" w:after="100" w:afterAutospacing="1"/>
    </w:pPr>
  </w:style>
  <w:style w:type="paragraph" w:customStyle="1" w:styleId="34">
    <w:name w:val="列表段落1"/>
    <w:qFormat/>
    <w:uiPriority w:val="34"/>
    <w:pPr>
      <w:widowControl w:val="0"/>
      <w:ind w:firstLine="420" w:firstLineChars="200"/>
      <w:jc w:val="both"/>
    </w:pPr>
    <w:rPr>
      <w:rFonts w:ascii="Times New Roman" w:hAnsi="Times New Roman" w:eastAsia="宋体" w:cs="Times New Roman"/>
      <w:kern w:val="2"/>
      <w:sz w:val="21"/>
      <w:lang w:val="en-US" w:eastAsia="zh-CN" w:bidi="ar-SA"/>
    </w:rPr>
  </w:style>
  <w:style w:type="paragraph" w:customStyle="1" w:styleId="35">
    <w:name w:val="修订1"/>
    <w:hidden/>
    <w:unhideWhenUsed/>
    <w:qFormat/>
    <w:uiPriority w:val="99"/>
    <w:rPr>
      <w:rFonts w:ascii="Times New Roman" w:hAnsi="Times New Roman" w:eastAsia="宋体" w:cs="Times New Roman"/>
      <w:kern w:val="2"/>
      <w:sz w:val="21"/>
      <w:lang w:val="en-US" w:eastAsia="zh-CN" w:bidi="ar-SA"/>
    </w:rPr>
  </w:style>
  <w:style w:type="character" w:customStyle="1" w:styleId="36">
    <w:name w:val="批注文字 字符"/>
    <w:basedOn w:val="15"/>
    <w:link w:val="6"/>
    <w:qFormat/>
    <w:uiPriority w:val="99"/>
    <w:rPr>
      <w:rFonts w:ascii="宋体" w:hAnsi="宋体" w:cs="宋体"/>
      <w:sz w:val="24"/>
      <w:szCs w:val="24"/>
    </w:rPr>
  </w:style>
  <w:style w:type="paragraph" w:customStyle="1" w:styleId="37">
    <w:name w:val="修订2"/>
    <w:hidden/>
    <w:unhideWhenUsed/>
    <w:qFormat/>
    <w:uiPriority w:val="99"/>
    <w:rPr>
      <w:rFonts w:ascii="Times New Roman" w:hAnsi="Times New Roman" w:eastAsia="宋体" w:cs="Times New Roman"/>
      <w:kern w:val="2"/>
      <w:sz w:val="21"/>
      <w:lang w:val="en-US" w:eastAsia="zh-CN" w:bidi="ar-SA"/>
    </w:rPr>
  </w:style>
  <w:style w:type="character" w:customStyle="1" w:styleId="38">
    <w:name w:val="NormalCharacter"/>
    <w:link w:val="39"/>
    <w:qFormat/>
    <w:uiPriority w:val="0"/>
  </w:style>
  <w:style w:type="paragraph" w:customStyle="1" w:styleId="39">
    <w:name w:val="UserStyle_3"/>
    <w:basedOn w:val="1"/>
    <w:link w:val="38"/>
    <w:qFormat/>
    <w:uiPriority w:val="0"/>
    <w:pPr>
      <w:spacing w:after="160" w:line="240" w:lineRule="exact"/>
    </w:pPr>
    <w:rPr>
      <w:rFonts w:ascii="Times New Roman" w:hAnsi="Times New Roman" w:cs="Times New Roman"/>
      <w:sz w:val="20"/>
      <w:szCs w:val="20"/>
    </w:rPr>
  </w:style>
  <w:style w:type="paragraph" w:customStyle="1" w:styleId="40">
    <w:name w:val="NormalIndent"/>
    <w:basedOn w:val="1"/>
    <w:qFormat/>
    <w:uiPriority w:val="0"/>
    <w:pPr>
      <w:widowControl w:val="0"/>
      <w:ind w:firstLine="420" w:firstLineChars="200"/>
      <w:jc w:val="both"/>
    </w:pPr>
    <w:rPr>
      <w:rFonts w:ascii="Times New Roman" w:hAnsi="Times New Roman" w:cs="Times New Roman"/>
      <w:kern w:val="2"/>
      <w:sz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tyleName="APA" SelectedStyle="\APASixthEditionOfficeOnline.xsl" Version="6"/>
</file>

<file path=customXml/itemProps1.xml><?xml version="1.0" encoding="utf-8"?>
<ds:datastoreItem xmlns:ds="http://schemas.openxmlformats.org/officeDocument/2006/customXml" ds:itemID="{4E977828-9157-45A0-8DF3-568D0A72FDAB}">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6</Pages>
  <Words>4215</Words>
  <Characters>4991</Characters>
  <Lines>53</Lines>
  <Paragraphs>15</Paragraphs>
  <TotalTime>42</TotalTime>
  <ScaleCrop>false</ScaleCrop>
  <LinksUpToDate>false</LinksUpToDate>
  <CharactersWithSpaces>5010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2026-09-11T04:39:00Z</dcterms:created>
  <dc:creator>湖州市第三人民医院</dc:creator>
  <cp:keywords>防火墙,态势感知,潜伏威胁探针,MSS,采购需求</cp:keywords>
  <cp:lastModifiedBy>hu</cp:lastModifiedBy>
  <dcterms:modified xsi:type="dcterms:W3CDTF">2026-10-12T00:04:31Z</dcterms:modified>
  <dc:subject>网络安全设备加固项目采购需求</dc:subject>
  <dc:title>湖州市第三人民医院网络安全设备加固项目采购需求申报方案</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F4BB0E0C23BD4094BD8F83E80FA73B20_13</vt:lpwstr>
  </property>
  <property fmtid="{D5CDD505-2E9C-101B-9397-08002B2CF9AE}" pid="4" name="KSOTemplateDocerSaveRecord">
    <vt:lpwstr>eyJoZGlkIjoiNWYzYTdhMGQzYWVlY2EzZTkzYmY1ZDU2N2E1MGQzM2EiLCJ1c2VySWQiOiIzMzU3NDUzMTIifQ==</vt:lpwstr>
  </property>
</Properties>
</file>